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成都印钞有限公司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0112-2017-2021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0112-2017-2021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成都印钞有限公司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赵生浩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r>
              <w:rPr>
                <w:rFonts w:cs="宋体" w:asciiTheme="minorEastAsia" w:hAnsiTheme="minorEastAsia"/>
                <w:kern w:val="0"/>
                <w:szCs w:val="21"/>
              </w:rPr>
              <w:t>ISC-2017-0203</w:t>
            </w:r>
            <w:bookmarkEnd w:id="5"/>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6" w:name="证书有效期"/>
            <w:r>
              <w:rPr>
                <w:rFonts w:cs="宋体" w:asciiTheme="minorEastAsia" w:hAnsiTheme="minorEastAsia"/>
                <w:kern w:val="0"/>
                <w:szCs w:val="21"/>
              </w:rPr>
              <w:t>2022-12-28 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7"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四</w:t>
            </w:r>
            <w:bookmarkEnd w:id="7"/>
            <w:r>
              <w:rPr>
                <w:rFonts w:hint="eastAsia" w:cs="宋体" w:asciiTheme="minorEastAsia" w:hAnsiTheme="minorEastAsia"/>
                <w:kern w:val="0"/>
                <w:szCs w:val="21"/>
                <w:lang w:val="en-US" w:eastAsia="zh-CN"/>
              </w:rPr>
              <w:t>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8" w:name="审核开始日"/>
            <w:r>
              <w:rPr>
                <w:rFonts w:cs="宋体" w:asciiTheme="minorEastAsia" w:hAnsiTheme="minorEastAsia"/>
                <w:kern w:val="0"/>
                <w:szCs w:val="21"/>
              </w:rPr>
              <w:t>2021年12月08日 上午</w:t>
            </w:r>
            <w:bookmarkEnd w:id="8"/>
            <w:r>
              <w:rPr>
                <w:rFonts w:hint="eastAsia" w:cs="宋体" w:asciiTheme="minorEastAsia" w:hAnsiTheme="minorEastAsia"/>
                <w:kern w:val="0"/>
                <w:szCs w:val="21"/>
                <w:lang w:val="en-US" w:eastAsia="zh-CN"/>
              </w:rPr>
              <w:t>至下午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孙保健</w:t>
            </w:r>
            <w:r>
              <w:rPr>
                <w:rFonts w:ascii="宋体" w:hAnsi="宋体"/>
                <w:color w:val="000000"/>
                <w:szCs w:val="21"/>
                <w:shd w:val="pct10" w:color="auto" w:fill="FFFFFF"/>
              </w:rPr>
              <w:t>2020-M1MMS-12743</w:t>
            </w:r>
          </w:p>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胡琳</w:t>
            </w:r>
            <w:r>
              <w:rPr>
                <w:rFonts w:ascii="宋体" w:hAnsi="宋体"/>
                <w:color w:val="000000"/>
                <w:szCs w:val="21"/>
                <w:shd w:val="pct10" w:color="auto" w:fill="FFFFFF"/>
              </w:rPr>
              <w:t>022019-M1MMS-1274448</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olor w:val="000000"/>
                <w:szCs w:val="21"/>
                <w:shd w:val="pct10" w:color="auto" w:fill="FFFFFF"/>
                <w:lang w:val="en-US" w:eastAsia="zh-CN"/>
              </w:rPr>
              <w:t>程万荣</w:t>
            </w:r>
            <w:r>
              <w:rPr>
                <w:color w:val="000000"/>
                <w:szCs w:val="21"/>
                <w:shd w:val="pct10" w:color="auto" w:fill="FFFFFF"/>
              </w:rPr>
              <w:t>2019-M1MMS-1274452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r>
              <w:rPr>
                <w:rFonts w:hint="eastAsia" w:ascii="宋体" w:hAnsi="宋体"/>
                <w:szCs w:val="21"/>
              </w:rPr>
              <w:t>能源环保部</w:t>
            </w:r>
            <w:r>
              <w:rPr>
                <w:rFonts w:hint="eastAsia" w:ascii="宋体" w:hAnsi="宋体"/>
                <w:szCs w:val="21"/>
                <w:lang w:eastAsia="zh-CN"/>
              </w:rPr>
              <w:t>、</w:t>
            </w:r>
            <w:r>
              <w:rPr>
                <w:rFonts w:hint="eastAsia"/>
                <w:szCs w:val="21"/>
                <w:lang w:val="en-US" w:eastAsia="zh-CN"/>
              </w:rPr>
              <w:t>钞纸管理部</w:t>
            </w:r>
            <w:r>
              <w:rPr>
                <w:rFonts w:hint="eastAsia"/>
                <w:szCs w:val="21"/>
                <w:lang w:eastAsia="zh-CN"/>
              </w:rPr>
              <w:t>、</w:t>
            </w:r>
            <w:r>
              <w:rPr>
                <w:rFonts w:hint="eastAsia"/>
                <w:szCs w:val="21"/>
                <w:lang w:val="en-US" w:eastAsia="zh-CN"/>
              </w:rPr>
              <w:t>钞</w:t>
            </w:r>
            <w:r>
              <w:rPr>
                <w:rFonts w:hint="eastAsia"/>
                <w:szCs w:val="21"/>
              </w:rPr>
              <w:t>纸制作部</w:t>
            </w:r>
            <w:r>
              <w:rPr>
                <w:rFonts w:hint="eastAsia"/>
                <w:szCs w:val="21"/>
                <w:lang w:eastAsia="zh-CN"/>
              </w:rPr>
              <w:t>、</w:t>
            </w:r>
            <w:r>
              <w:rPr>
                <w:rFonts w:hint="eastAsia"/>
                <w:szCs w:val="21"/>
                <w:lang w:val="en-US" w:eastAsia="zh-CN"/>
              </w:rPr>
              <w:t>物资</w:t>
            </w:r>
            <w:r>
              <w:rPr>
                <w:rFonts w:hint="eastAsia"/>
                <w:szCs w:val="21"/>
              </w:rPr>
              <w:t>管理部</w:t>
            </w:r>
            <w:r>
              <w:rPr>
                <w:rFonts w:hint="eastAsia"/>
                <w:szCs w:val="21"/>
                <w:lang w:eastAsia="zh-CN"/>
              </w:rPr>
              <w:t>、</w:t>
            </w:r>
            <w:r>
              <w:rPr>
                <w:rFonts w:hint="eastAsia"/>
                <w:szCs w:val="21"/>
              </w:rPr>
              <w:t>印</w:t>
            </w:r>
            <w:r>
              <w:rPr>
                <w:rFonts w:hint="eastAsia"/>
                <w:szCs w:val="21"/>
                <w:lang w:val="en-US" w:eastAsia="zh-CN"/>
              </w:rPr>
              <w:t>钞管理</w:t>
            </w:r>
            <w:r>
              <w:rPr>
                <w:rFonts w:hint="eastAsia"/>
                <w:szCs w:val="21"/>
              </w:rPr>
              <w:t>部</w:t>
            </w:r>
            <w:r>
              <w:rPr>
                <w:rFonts w:hint="eastAsia"/>
                <w:szCs w:val="21"/>
                <w:lang w:eastAsia="zh-CN"/>
              </w:rPr>
              <w:t>、</w:t>
            </w:r>
            <w:r>
              <w:rPr>
                <w:rFonts w:hint="eastAsia"/>
                <w:szCs w:val="21"/>
              </w:rPr>
              <w:t>印</w:t>
            </w:r>
            <w:r>
              <w:rPr>
                <w:rFonts w:hint="eastAsia"/>
                <w:szCs w:val="21"/>
                <w:lang w:val="en-US" w:eastAsia="zh-CN"/>
              </w:rPr>
              <w:t>钞数管</w:t>
            </w:r>
            <w:r>
              <w:rPr>
                <w:rFonts w:hint="eastAsia"/>
                <w:szCs w:val="21"/>
              </w:rPr>
              <w:t>部</w:t>
            </w:r>
            <w:r>
              <w:rPr>
                <w:rFonts w:hint="eastAsia"/>
                <w:szCs w:val="21"/>
                <w:lang w:eastAsia="zh-CN"/>
              </w:rPr>
              <w:t>、</w:t>
            </w:r>
            <w:r>
              <w:rPr>
                <w:rFonts w:hint="eastAsia" w:eastAsia="新宋体"/>
                <w:szCs w:val="21"/>
              </w:rPr>
              <w:t>胶凹制作部</w:t>
            </w:r>
            <w:r>
              <w:rPr>
                <w:rFonts w:hint="eastAsia"/>
                <w:szCs w:val="21"/>
                <w:lang w:eastAsia="zh-CN"/>
              </w:rPr>
              <w:t>、</w:t>
            </w:r>
            <w:r>
              <w:rPr>
                <w:rFonts w:hint="eastAsia"/>
                <w:szCs w:val="21"/>
                <w:lang w:val="en-US" w:eastAsia="zh-CN"/>
              </w:rPr>
              <w:t>钞</w:t>
            </w:r>
            <w:r>
              <w:rPr>
                <w:rFonts w:hint="eastAsia"/>
                <w:szCs w:val="21"/>
              </w:rPr>
              <w:t>纸</w:t>
            </w:r>
            <w:r>
              <w:rPr>
                <w:rFonts w:hint="eastAsia"/>
                <w:szCs w:val="21"/>
                <w:lang w:val="en-US" w:eastAsia="zh-CN"/>
              </w:rPr>
              <w:t>成品</w:t>
            </w:r>
            <w:r>
              <w:rPr>
                <w:rFonts w:hint="eastAsia"/>
                <w:szCs w:val="21"/>
              </w:rPr>
              <w:t>制作部</w:t>
            </w:r>
            <w:r>
              <w:rPr>
                <w:rFonts w:hint="eastAsia"/>
                <w:szCs w:val="21"/>
                <w:lang w:eastAsia="zh-CN"/>
              </w:rPr>
              <w:t>、</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widowControl/>
        <w:spacing w:line="360" w:lineRule="auto"/>
        <w:ind w:firstLine="420" w:firstLineChars="2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20</w:t>
      </w:r>
      <w:r>
        <w:rPr>
          <w:rFonts w:hint="eastAsia" w:cs="宋体" w:asciiTheme="minorEastAsia" w:hAnsiTheme="minorEastAsia"/>
          <w:bCs/>
          <w:color w:val="000000" w:themeColor="text1"/>
          <w:kern w:val="0"/>
          <w:szCs w:val="21"/>
          <w:lang w:val="en-US" w:eastAsia="zh-CN"/>
        </w:rPr>
        <w:t>20</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12</w:t>
      </w:r>
      <w:r>
        <w:rPr>
          <w:rFonts w:hint="eastAsia" w:cs="宋体" w:asciiTheme="minorEastAsia" w:hAnsiTheme="minorEastAsia"/>
          <w:bCs/>
          <w:color w:val="000000" w:themeColor="text1"/>
          <w:kern w:val="0"/>
          <w:szCs w:val="21"/>
        </w:rPr>
        <w:t>月至今，</w:t>
      </w:r>
      <w:r>
        <w:rPr>
          <w:rFonts w:hint="eastAsia" w:cs="宋体" w:asciiTheme="minorEastAsia" w:hAnsiTheme="minorEastAsia"/>
          <w:bCs/>
          <w:color w:val="000000" w:themeColor="text1"/>
          <w:kern w:val="0"/>
          <w:szCs w:val="21"/>
          <w:lang w:val="en-US" w:eastAsia="zh-CN"/>
        </w:rPr>
        <w:t>该企业</w:t>
      </w:r>
      <w:r>
        <w:rPr>
          <w:rFonts w:hint="eastAsia" w:cs="宋体" w:asciiTheme="minorEastAsia" w:hAnsiTheme="minorEastAsia"/>
          <w:kern w:val="0"/>
          <w:szCs w:val="21"/>
          <w:lang w:val="en-US" w:eastAsia="zh-CN"/>
        </w:rPr>
        <w:t>生产</w:t>
      </w:r>
      <w:r>
        <w:rPr>
          <w:rFonts w:hint="eastAsia" w:cs="宋体" w:asciiTheme="minorEastAsia" w:hAnsiTheme="minorEastAsia"/>
          <w:bCs/>
          <w:color w:val="000000" w:themeColor="text1"/>
          <w:kern w:val="0"/>
          <w:szCs w:val="21"/>
        </w:rPr>
        <w:t>产品，</w:t>
      </w:r>
      <w:r>
        <w:rPr>
          <w:rFonts w:hint="eastAsia" w:cs="宋体" w:asciiTheme="minorEastAsia" w:hAnsiTheme="minorEastAsia"/>
          <w:bCs/>
          <w:color w:val="000000" w:themeColor="text1"/>
          <w:kern w:val="0"/>
          <w:szCs w:val="21"/>
          <w:lang w:eastAsia="zh-CN"/>
        </w:rPr>
        <w:t>企业测量</w:t>
      </w:r>
      <w:r>
        <w:rPr>
          <w:rFonts w:hint="eastAsia" w:cs="宋体" w:asciiTheme="minorEastAsia" w:hAnsiTheme="minorEastAsia"/>
          <w:bCs/>
          <w:color w:val="000000" w:themeColor="text1"/>
          <w:kern w:val="0"/>
          <w:szCs w:val="21"/>
        </w:rPr>
        <w:t>管理</w:t>
      </w:r>
      <w:r>
        <w:rPr>
          <w:rFonts w:hint="eastAsia" w:cs="宋体" w:asciiTheme="minorEastAsia" w:hAnsiTheme="minorEastAsia"/>
          <w:bCs/>
          <w:color w:val="000000" w:themeColor="text1"/>
          <w:kern w:val="0"/>
          <w:szCs w:val="21"/>
          <w:lang w:eastAsia="zh-CN"/>
        </w:rPr>
        <w:t>体系日臻</w:t>
      </w:r>
      <w:r>
        <w:rPr>
          <w:rFonts w:hint="eastAsia" w:cs="宋体" w:asciiTheme="minorEastAsia" w:hAnsiTheme="minorEastAsia"/>
          <w:bCs/>
          <w:color w:val="000000" w:themeColor="text1"/>
          <w:kern w:val="0"/>
          <w:szCs w:val="21"/>
        </w:rPr>
        <w:t>完善，未见违反法律、法规问题或重大质量事故发生。公司日常运行中生产经营平稳</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质量稳步上升，顾客满意度</w:t>
      </w:r>
      <w:r>
        <w:rPr>
          <w:rFonts w:hint="eastAsia" w:cs="宋体" w:asciiTheme="minorEastAsia" w:hAnsiTheme="minorEastAsia"/>
          <w:bCs/>
          <w:color w:val="000000" w:themeColor="text1"/>
          <w:kern w:val="0"/>
          <w:szCs w:val="21"/>
          <w:lang w:eastAsia="zh-CN"/>
        </w:rPr>
        <w:t>有所</w:t>
      </w:r>
      <w:r>
        <w:rPr>
          <w:rFonts w:hint="eastAsia" w:cs="宋体" w:asciiTheme="minorEastAsia" w:hAnsiTheme="minorEastAsia"/>
          <w:bCs/>
          <w:color w:val="000000" w:themeColor="text1"/>
          <w:kern w:val="0"/>
          <w:szCs w:val="21"/>
        </w:rPr>
        <w:t>提高</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Fonts w:hint="eastAsia" w:ascii="宋体" w:hAnsi="宋体"/>
          <w:bCs/>
          <w:color w:val="000000" w:themeColor="text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1</w:t>
      </w:r>
      <w:r>
        <w:rPr>
          <w:rFonts w:hint="eastAsia" w:ascii="宋体" w:hAnsi="宋体"/>
          <w:bCs/>
          <w:color w:val="000000" w:themeColor="text1"/>
          <w:szCs w:val="21"/>
        </w:rPr>
        <w:t>年</w:t>
      </w:r>
      <w:r>
        <w:rPr>
          <w:rFonts w:hint="eastAsia" w:ascii="宋体" w:hAnsi="宋体"/>
          <w:bCs/>
          <w:color w:val="000000" w:themeColor="text1"/>
          <w:szCs w:val="21"/>
          <w:lang w:val="en-US" w:eastAsia="zh-CN"/>
        </w:rPr>
        <w:t>4</w:t>
      </w:r>
      <w:r>
        <w:rPr>
          <w:rFonts w:hint="eastAsia" w:ascii="宋体" w:hAnsi="宋体"/>
          <w:bCs/>
          <w:color w:val="000000" w:themeColor="text1"/>
          <w:szCs w:val="21"/>
        </w:rPr>
        <w:t>月</w:t>
      </w:r>
      <w:r>
        <w:rPr>
          <w:rFonts w:hint="eastAsia" w:ascii="宋体" w:hAnsi="宋体"/>
          <w:bCs/>
          <w:color w:val="000000" w:themeColor="text1"/>
          <w:szCs w:val="21"/>
          <w:lang w:val="en-US" w:eastAsia="zh-CN"/>
        </w:rPr>
        <w:t>1</w:t>
      </w:r>
      <w:r>
        <w:rPr>
          <w:rFonts w:hint="eastAsia" w:ascii="宋体" w:hAnsi="宋体"/>
          <w:bCs/>
          <w:color w:val="000000" w:themeColor="text1"/>
          <w:szCs w:val="21"/>
        </w:rPr>
        <w:t>日</w:t>
      </w:r>
      <w:r>
        <w:rPr>
          <w:rFonts w:hint="eastAsia" w:ascii="宋体" w:hAnsi="宋体"/>
          <w:bCs/>
          <w:color w:val="000000" w:themeColor="text1"/>
          <w:szCs w:val="21"/>
          <w:lang w:val="en-US" w:eastAsia="zh-CN"/>
        </w:rPr>
        <w:t>开始</w:t>
      </w:r>
      <w:r>
        <w:rPr>
          <w:rFonts w:hint="eastAsia" w:ascii="宋体" w:hAnsi="宋体"/>
          <w:bCs/>
          <w:color w:val="000000" w:themeColor="text1"/>
          <w:szCs w:val="21"/>
        </w:rPr>
        <w:t>组织了公司</w:t>
      </w:r>
      <w:r>
        <w:rPr>
          <w:rFonts w:ascii="宋体" w:hAnsi="宋体"/>
          <w:bCs/>
          <w:color w:val="000000" w:themeColor="text1"/>
          <w:szCs w:val="21"/>
        </w:rPr>
        <w:t>测量管理体系</w:t>
      </w:r>
      <w:r>
        <w:rPr>
          <w:rStyle w:val="9"/>
          <w:rFonts w:hint="eastAsia" w:ascii="宋体" w:eastAsia="宋体"/>
          <w:color w:val="000000" w:themeColor="text1"/>
          <w:sz w:val="21"/>
          <w:szCs w:val="21"/>
        </w:rPr>
        <w:t>内审</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1</w:t>
      </w:r>
      <w:r>
        <w:rPr>
          <w:rFonts w:hint="eastAsia" w:ascii="宋体" w:hAnsi="宋体"/>
          <w:bCs/>
          <w:color w:val="000000" w:themeColor="text1"/>
          <w:szCs w:val="21"/>
        </w:rPr>
        <w:t>个组，</w:t>
      </w:r>
      <w:r>
        <w:rPr>
          <w:rFonts w:hint="eastAsia" w:ascii="宋体" w:hAnsi="宋体"/>
          <w:bCs/>
          <w:color w:val="000000" w:themeColor="text1"/>
          <w:szCs w:val="21"/>
          <w:lang w:val="en-US" w:eastAsia="zh-CN"/>
        </w:rPr>
        <w:t>到10月30日结束</w:t>
      </w:r>
      <w:r>
        <w:rPr>
          <w:rFonts w:hint="eastAsia" w:ascii="宋体" w:hAnsi="宋体"/>
          <w:bCs/>
          <w:color w:val="000000" w:themeColor="text1"/>
          <w:szCs w:val="21"/>
        </w:rPr>
        <w:t>对公司</w:t>
      </w:r>
      <w:r>
        <w:rPr>
          <w:rFonts w:hint="eastAsia" w:ascii="宋体" w:hAnsi="宋体"/>
          <w:bCs/>
          <w:color w:val="000000" w:themeColor="text1"/>
          <w:szCs w:val="21"/>
          <w:lang w:val="en-US" w:eastAsia="zh-CN"/>
        </w:rPr>
        <w:t>6</w:t>
      </w:r>
      <w:r>
        <w:rPr>
          <w:rFonts w:hint="eastAsia" w:ascii="宋体" w:hAnsi="宋体"/>
          <w:bCs/>
          <w:color w:val="000000" w:themeColor="text1"/>
          <w:szCs w:val="21"/>
        </w:rPr>
        <w:t>个</w:t>
      </w:r>
      <w:r>
        <w:rPr>
          <w:rFonts w:hint="eastAsia" w:ascii="宋体" w:hAnsi="宋体"/>
          <w:bCs/>
          <w:color w:val="000000" w:themeColor="text1"/>
          <w:szCs w:val="21"/>
          <w:lang w:val="en-US" w:eastAsia="zh-CN"/>
        </w:rPr>
        <w:t>制作</w:t>
      </w:r>
      <w:r>
        <w:rPr>
          <w:rFonts w:hint="eastAsia" w:ascii="宋体" w:hAnsi="宋体"/>
          <w:bCs/>
          <w:color w:val="000000" w:themeColor="text1"/>
          <w:szCs w:val="21"/>
        </w:rPr>
        <w:t>部</w:t>
      </w:r>
      <w:r>
        <w:rPr>
          <w:rFonts w:hint="eastAsia" w:ascii="宋体" w:hAnsi="宋体"/>
          <w:bCs/>
          <w:color w:val="000000" w:themeColor="text1"/>
          <w:szCs w:val="21"/>
          <w:lang w:val="en-US" w:eastAsia="zh-CN"/>
        </w:rPr>
        <w:t>和11个职能部门</w:t>
      </w:r>
      <w:r>
        <w:rPr>
          <w:rFonts w:hint="eastAsia" w:ascii="宋体" w:hAnsi="宋体"/>
          <w:bCs/>
          <w:color w:val="000000" w:themeColor="text1"/>
          <w:szCs w:val="21"/>
        </w:rPr>
        <w:t>进行了全要素的审核，</w:t>
      </w:r>
      <w:r>
        <w:rPr>
          <w:rFonts w:hint="eastAsia" w:ascii="宋体" w:hAnsi="宋体"/>
          <w:bCs/>
          <w:color w:val="000000" w:themeColor="text1"/>
          <w:szCs w:val="21"/>
          <w:lang w:val="en-US" w:eastAsia="zh-CN"/>
        </w:rPr>
        <w:t xml:space="preserve"> </w:t>
      </w:r>
      <w:r>
        <w:rPr>
          <w:rFonts w:ascii="宋体" w:hAnsi="宋体"/>
          <w:bCs/>
          <w:color w:val="000000" w:themeColor="text1"/>
          <w:szCs w:val="21"/>
        </w:rPr>
        <w:t>开出</w:t>
      </w:r>
      <w:r>
        <w:rPr>
          <w:rFonts w:hint="eastAsia" w:ascii="宋体" w:hAnsi="宋体"/>
          <w:bCs/>
          <w:color w:val="000000" w:themeColor="text1"/>
          <w:szCs w:val="21"/>
        </w:rPr>
        <w:t>不</w:t>
      </w:r>
      <w:r>
        <w:rPr>
          <w:rFonts w:ascii="宋体" w:hAnsi="宋体"/>
          <w:bCs/>
          <w:color w:val="000000" w:themeColor="text1"/>
          <w:szCs w:val="21"/>
        </w:rPr>
        <w:t>符合</w:t>
      </w:r>
      <w:r>
        <w:rPr>
          <w:rFonts w:hint="eastAsia" w:ascii="宋体" w:hAnsi="宋体"/>
          <w:bCs/>
          <w:color w:val="000000" w:themeColor="text1"/>
          <w:szCs w:val="21"/>
          <w:lang w:val="en-US" w:eastAsia="zh-CN"/>
        </w:rPr>
        <w:t>2</w:t>
      </w:r>
      <w:r>
        <w:rPr>
          <w:rFonts w:ascii="宋体" w:hAnsi="宋体"/>
          <w:bCs/>
          <w:color w:val="000000" w:themeColor="text1"/>
          <w:szCs w:val="21"/>
        </w:rPr>
        <w:t>项</w:t>
      </w:r>
      <w:r>
        <w:rPr>
          <w:rFonts w:hint="eastAsia" w:ascii="宋体" w:hAnsi="宋体"/>
          <w:bCs/>
          <w:color w:val="000000" w:themeColor="text1"/>
          <w:szCs w:val="21"/>
          <w:lang w:val="en-US" w:eastAsia="zh-CN"/>
        </w:rPr>
        <w:t>。</w:t>
      </w:r>
      <w:r>
        <w:rPr>
          <w:rFonts w:hint="eastAsia" w:ascii="宋体" w:hAnsi="宋体"/>
          <w:bCs/>
          <w:color w:val="000000" w:themeColor="text1"/>
          <w:szCs w:val="21"/>
        </w:rPr>
        <w:t>于</w:t>
      </w:r>
      <w:r>
        <w:rPr>
          <w:rFonts w:hint="eastAsia" w:ascii="宋体" w:hAnsi="宋体"/>
          <w:bCs/>
          <w:color w:val="000000" w:themeColor="text1"/>
          <w:szCs w:val="21"/>
          <w:lang w:val="en-US" w:eastAsia="zh-CN"/>
        </w:rPr>
        <w:t>11</w:t>
      </w:r>
      <w:r>
        <w:rPr>
          <w:rFonts w:hint="eastAsia" w:ascii="宋体" w:hAnsi="宋体"/>
          <w:bCs/>
          <w:color w:val="000000" w:themeColor="text1"/>
          <w:szCs w:val="21"/>
        </w:rPr>
        <w:t>月</w:t>
      </w:r>
      <w:r>
        <w:rPr>
          <w:rFonts w:hint="eastAsia" w:ascii="宋体" w:hAnsi="宋体"/>
          <w:bCs/>
          <w:color w:val="000000" w:themeColor="text1"/>
          <w:szCs w:val="21"/>
          <w:lang w:val="en-US" w:eastAsia="zh-CN"/>
        </w:rPr>
        <w:t>06</w:t>
      </w:r>
      <w:r>
        <w:rPr>
          <w:rFonts w:hint="eastAsia" w:ascii="宋体" w:hAnsi="宋体"/>
          <w:bCs/>
          <w:color w:val="000000" w:themeColor="text1"/>
          <w:szCs w:val="21"/>
        </w:rPr>
        <w:t>日</w:t>
      </w:r>
      <w:r>
        <w:rPr>
          <w:rFonts w:hint="eastAsia" w:ascii="宋体" w:hAnsi="宋体"/>
          <w:bCs/>
          <w:color w:val="000000" w:themeColor="text1"/>
          <w:szCs w:val="21"/>
          <w:lang w:val="en-US" w:eastAsia="zh-CN"/>
        </w:rPr>
        <w:t>完成整改</w:t>
      </w:r>
      <w:r>
        <w:rPr>
          <w:rFonts w:hint="eastAsia" w:ascii="宋体" w:hAnsi="宋体"/>
          <w:bCs/>
          <w:color w:val="000000" w:themeColor="text1"/>
          <w:szCs w:val="21"/>
        </w:rPr>
        <w:t>。</w:t>
      </w:r>
    </w:p>
    <w:p>
      <w:pPr>
        <w:spacing w:line="360"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w:t>
      </w:r>
      <w:r>
        <w:rPr>
          <w:rFonts w:hint="eastAsia"/>
          <w:color w:val="000000" w:themeColor="text1"/>
          <w:szCs w:val="21"/>
          <w:lang w:val="en-US" w:eastAsia="zh-CN"/>
        </w:rPr>
        <w:t>2021</w:t>
      </w:r>
      <w:r>
        <w:rPr>
          <w:rFonts w:hint="eastAsia"/>
          <w:color w:val="000000" w:themeColor="text1"/>
          <w:szCs w:val="21"/>
        </w:rPr>
        <w:t>年</w:t>
      </w:r>
      <w:r>
        <w:rPr>
          <w:rFonts w:hint="eastAsia"/>
          <w:color w:val="000000" w:themeColor="text1"/>
          <w:szCs w:val="21"/>
          <w:lang w:val="en-US" w:eastAsia="zh-CN"/>
        </w:rPr>
        <w:t>11</w:t>
      </w:r>
      <w:r>
        <w:rPr>
          <w:rFonts w:hint="eastAsia"/>
          <w:color w:val="000000" w:themeColor="text1"/>
          <w:szCs w:val="21"/>
        </w:rPr>
        <w:t>月</w:t>
      </w:r>
      <w:r>
        <w:rPr>
          <w:rFonts w:hint="eastAsia"/>
          <w:color w:val="000000" w:themeColor="text1"/>
          <w:szCs w:val="21"/>
          <w:lang w:val="en-US" w:eastAsia="zh-CN"/>
        </w:rPr>
        <w:t>29</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color w:val="000000" w:themeColor="text1"/>
          <w:szCs w:val="21"/>
          <w:lang w:val="en-US" w:eastAsia="zh-CN"/>
        </w:rPr>
        <w:t>测量</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Fonts w:hint="eastAsia" w:ascii="宋体" w:hAnsi="宋体" w:cs="宋体"/>
          <w:kern w:val="0"/>
          <w:szCs w:val="21"/>
          <w:lang w:val="en-US" w:eastAsia="zh-CN"/>
        </w:rPr>
        <w:t>王志钢</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武明凯</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w:t>
      </w:r>
      <w:r>
        <w:rPr>
          <w:rFonts w:hint="eastAsia"/>
          <w:color w:val="000000" w:themeColor="text1"/>
          <w:szCs w:val="21"/>
          <w:lang w:val="en-US" w:eastAsia="zh-CN"/>
        </w:rPr>
        <w:t>并</w:t>
      </w:r>
      <w:r>
        <w:rPr>
          <w:rFonts w:hint="eastAsia"/>
          <w:color w:val="000000" w:themeColor="text1"/>
          <w:szCs w:val="21"/>
        </w:rPr>
        <w:t>对公司测量管理体系目前存在的</w:t>
      </w:r>
      <w:r>
        <w:rPr>
          <w:rFonts w:hint="eastAsia"/>
          <w:color w:val="000000" w:themeColor="text1"/>
          <w:szCs w:val="21"/>
          <w:lang w:val="en-US" w:eastAsia="zh-CN"/>
        </w:rPr>
        <w:t>2</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3.为持续改进而策划的活动的进展企业对识别的关键测量过程进行了持续的控制，新增</w:t>
      </w:r>
      <w:r>
        <w:rPr>
          <w:rFonts w:hint="eastAsia" w:cs="宋体" w:asciiTheme="minorEastAsia" w:hAnsiTheme="minorEastAsia"/>
          <w:bCs/>
          <w:color w:val="000000" w:themeColor="text1"/>
          <w:kern w:val="0"/>
          <w:szCs w:val="21"/>
          <w:lang w:val="en-US" w:eastAsia="zh-CN"/>
        </w:rPr>
        <w:t>0</w:t>
      </w:r>
      <w:r>
        <w:rPr>
          <w:rFonts w:hint="eastAsia" w:cs="宋体" w:asciiTheme="minorEastAsia" w:hAnsiTheme="minorEastAsia"/>
          <w:bCs/>
          <w:color w:val="000000" w:themeColor="text1"/>
          <w:kern w:val="0"/>
          <w:szCs w:val="21"/>
        </w:rPr>
        <w:t>个关键测量过程：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eastAsia="宋体" w:cs="宋体"/>
          <w:bCs/>
          <w:color w:val="000000" w:themeColor="text1"/>
          <w:kern w:val="0"/>
          <w:szCs w:val="21"/>
        </w:rPr>
        <w:t>《</w:t>
      </w:r>
      <w:r>
        <w:rPr>
          <w:rFonts w:hint="eastAsia" w:ascii="宋体" w:hAnsi="宋体"/>
          <w:b w:val="0"/>
          <w:bCs/>
          <w:sz w:val="21"/>
          <w:szCs w:val="21"/>
          <w:lang w:val="en-US" w:eastAsia="zh-CN"/>
        </w:rPr>
        <w:t>电镀液PH值测量过程</w:t>
      </w:r>
      <w:r>
        <w:rPr>
          <w:rFonts w:hint="eastAsia" w:ascii="宋体" w:hAnsi="宋体" w:eastAsia="宋体" w:cs="宋体"/>
          <w:bCs/>
          <w:color w:val="000000" w:themeColor="text1"/>
          <w:kern w:val="0"/>
          <w:szCs w:val="21"/>
          <w:lang w:eastAsia="zh-CN"/>
        </w:rPr>
        <w:t>》</w:t>
      </w:r>
      <w:r>
        <w:rPr>
          <w:rFonts w:hint="eastAsia"/>
          <w:color w:val="000000" w:themeColor="text1"/>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电镀液PH值测量过程</w:t>
      </w:r>
      <w:r>
        <w:rPr>
          <w:rFonts w:hint="eastAsia" w:ascii="宋体" w:hAnsi="宋体" w:eastAsia="宋体" w:cs="宋体"/>
          <w:bCs/>
          <w:color w:val="000000" w:themeColor="text1"/>
          <w:kern w:val="0"/>
          <w:szCs w:val="21"/>
          <w:lang w:eastAsia="zh-CN"/>
        </w:rPr>
        <w:t>》</w:t>
      </w:r>
      <w:r>
        <w:rPr>
          <w:rFonts w:hint="eastAsia"/>
          <w:color w:val="000000" w:themeColor="text1"/>
        </w:rPr>
        <w:t>，测量不确定度评定正确。祥见附件《测量不确定度评定》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电镀液PH值测量过程</w:t>
      </w:r>
      <w:r>
        <w:rPr>
          <w:rFonts w:hint="eastAsia" w:ascii="宋体" w:hAnsi="宋体" w:eastAsia="宋体" w:cs="宋体"/>
          <w:bCs/>
          <w:color w:val="000000" w:themeColor="text1"/>
          <w:kern w:val="0"/>
          <w:szCs w:val="21"/>
          <w:lang w:eastAsia="zh-CN"/>
        </w:rPr>
        <w:t>》</w:t>
      </w:r>
      <w:r>
        <w:rPr>
          <w:rFonts w:hint="eastAsia"/>
          <w:color w:val="000000" w:themeColor="text1"/>
        </w:rPr>
        <w:t>，采用比对进行有效性确认，满足要求。祥见附件《测量过程有效性确认》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电镀液PH值测量过程</w:t>
      </w:r>
      <w:r>
        <w:rPr>
          <w:rFonts w:hint="eastAsia" w:ascii="宋体" w:hAnsi="宋体" w:eastAsia="宋体" w:cs="宋体"/>
          <w:bCs/>
          <w:color w:val="000000" w:themeColor="text1"/>
          <w:kern w:val="0"/>
          <w:szCs w:val="21"/>
          <w:lang w:eastAsia="zh-CN"/>
        </w:rPr>
        <w:t>》</w:t>
      </w:r>
      <w:r>
        <w:rPr>
          <w:rFonts w:hint="eastAsia"/>
          <w:color w:val="000000" w:themeColor="text1"/>
        </w:rPr>
        <w:t>，编制了控制规范，对测量人员、测量设备、测量环境进行控制，满足要求。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电镀液PH值测量过程</w:t>
      </w:r>
      <w:r>
        <w:rPr>
          <w:rFonts w:hint="eastAsia" w:ascii="宋体" w:hAnsi="宋体" w:eastAsia="宋体" w:cs="宋体"/>
          <w:bCs/>
          <w:color w:val="000000" w:themeColor="text1"/>
          <w:kern w:val="0"/>
          <w:szCs w:val="21"/>
          <w:lang w:eastAsia="zh-CN"/>
        </w:rPr>
        <w:t>》</w:t>
      </w:r>
      <w:r>
        <w:rPr>
          <w:rFonts w:hint="eastAsia"/>
          <w:color w:val="000000" w:themeColor="text1"/>
        </w:rPr>
        <w:t>，</w:t>
      </w:r>
      <w:r>
        <w:rPr>
          <w:rFonts w:hint="eastAsia" w:cs="宋体" w:asciiTheme="minorEastAsia" w:hAnsiTheme="minorEastAsia"/>
          <w:color w:val="000000" w:themeColor="text1"/>
          <w:kern w:val="0"/>
          <w:szCs w:val="21"/>
        </w:rPr>
        <w:t>采用</w:t>
      </w:r>
      <w:r>
        <w:rPr>
          <w:rFonts w:hint="eastAsia" w:cs="宋体" w:asciiTheme="minorEastAsia" w:hAnsiTheme="minorEastAsia"/>
          <w:color w:val="000000" w:themeColor="text1"/>
          <w:kern w:val="0"/>
          <w:szCs w:val="21"/>
          <w:lang w:val="en-US" w:eastAsia="zh-CN"/>
        </w:rPr>
        <w:t>比对的方法</w:t>
      </w:r>
      <w:r>
        <w:rPr>
          <w:rFonts w:hint="eastAsia" w:cs="宋体" w:asciiTheme="minorEastAsia" w:hAnsiTheme="minorEastAsia"/>
          <w:color w:val="000000" w:themeColor="text1"/>
          <w:kern w:val="0"/>
          <w:szCs w:val="21"/>
        </w:rPr>
        <w:t>进行控制和监视测量过程。祥见《测量过程监视记录》</w:t>
      </w:r>
    </w:p>
    <w:p>
      <w:pPr>
        <w:widowControl/>
        <w:spacing w:line="360" w:lineRule="auto"/>
        <w:rPr>
          <w:rFonts w:hint="eastAsia" w:cs="宋体" w:asciiTheme="minorEastAsia" w:hAnsiTheme="minorEastAsia"/>
          <w:bCs/>
          <w:color w:val="000000" w:themeColor="text1"/>
          <w:kern w:val="0"/>
          <w:szCs w:val="21"/>
          <w:lang w:eastAsia="zh-CN"/>
        </w:rPr>
      </w:pPr>
      <w:r>
        <w:rPr>
          <w:rFonts w:hint="eastAsia" w:cs="宋体" w:asciiTheme="minorEastAsia" w:hAnsiTheme="minorEastAsia"/>
          <w:bCs/>
          <w:color w:val="000000" w:themeColor="text1"/>
          <w:kern w:val="0"/>
          <w:szCs w:val="21"/>
          <w:lang w:eastAsia="zh-CN"/>
        </w:rPr>
        <w:t>f)测量设备的溯源：，企业测量设备</w:t>
      </w:r>
      <w:r>
        <w:rPr>
          <w:rFonts w:hint="eastAsia" w:cs="宋体" w:asciiTheme="minorEastAsia" w:hAnsiTheme="minorEastAsia"/>
          <w:bCs/>
          <w:color w:val="000000" w:themeColor="text1"/>
          <w:kern w:val="0"/>
          <w:szCs w:val="21"/>
          <w:lang w:val="en-US" w:eastAsia="zh-CN"/>
        </w:rPr>
        <w:t>均送至</w:t>
      </w:r>
      <w:r>
        <w:rPr>
          <w:rFonts w:hint="eastAsia" w:asciiTheme="minorEastAsia" w:hAnsiTheme="minorEastAsia"/>
          <w:color w:val="auto"/>
          <w:sz w:val="21"/>
          <w:szCs w:val="21"/>
          <w:lang w:val="en-US" w:eastAsia="zh-CN"/>
        </w:rPr>
        <w:t>成都市计量检定测试院</w:t>
      </w:r>
      <w:r>
        <w:rPr>
          <w:rFonts w:hint="eastAsia" w:asciiTheme="minorEastAsia" w:hAnsiTheme="minorEastAsia"/>
          <w:color w:val="auto"/>
          <w:sz w:val="21"/>
          <w:szCs w:val="21"/>
          <w:lang w:eastAsia="zh-CN"/>
        </w:rPr>
        <w:t>、</w:t>
      </w:r>
      <w:r>
        <w:rPr>
          <w:rFonts w:hint="eastAsia" w:cs="宋体" w:asciiTheme="minorEastAsia" w:hAnsiTheme="minorEastAsia"/>
          <w:bCs/>
          <w:color w:val="000000" w:themeColor="text1"/>
          <w:kern w:val="0"/>
          <w:szCs w:val="21"/>
          <w:lang w:val="en-US" w:eastAsia="zh-CN"/>
        </w:rPr>
        <w:t>溯源，</w:t>
      </w:r>
      <w:r>
        <w:rPr>
          <w:rFonts w:hint="eastAsia" w:cs="宋体" w:asciiTheme="minorEastAsia" w:hAnsiTheme="minorEastAsia"/>
          <w:bCs/>
          <w:color w:val="000000" w:themeColor="text1"/>
          <w:kern w:val="0"/>
          <w:szCs w:val="21"/>
          <w:lang w:eastAsia="zh-CN"/>
        </w:rPr>
        <w:t>抽查</w:t>
      </w:r>
      <w:r>
        <w:rPr>
          <w:rFonts w:hint="eastAsia" w:cs="宋体" w:asciiTheme="minorEastAsia" w:hAnsiTheme="minorEastAsia"/>
          <w:bCs/>
          <w:color w:val="000000" w:themeColor="text1"/>
          <w:kern w:val="0"/>
          <w:szCs w:val="21"/>
          <w:lang w:val="en-US" w:eastAsia="zh-CN"/>
        </w:rPr>
        <w:t>8</w:t>
      </w:r>
      <w:r>
        <w:rPr>
          <w:rFonts w:hint="eastAsia" w:cs="宋体" w:asciiTheme="minorEastAsia" w:hAnsiTheme="minorEastAsia"/>
          <w:bCs/>
          <w:color w:val="000000" w:themeColor="text1"/>
          <w:kern w:val="0"/>
          <w:szCs w:val="21"/>
          <w:lang w:eastAsia="zh-CN"/>
        </w:rPr>
        <w:t>台测量设备检定/校准证书，溯源满足要求。祥见《测量设备溯源检查表》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420" w:firstLineChars="200"/>
        <w:rPr>
          <w:rFonts w:hint="eastAsia" w:ascii="宋体" w:hAnsi="宋体" w:eastAsia="宋体"/>
          <w:bCs/>
          <w:color w:val="000000" w:themeColor="text1"/>
          <w:szCs w:val="21"/>
        </w:rPr>
      </w:pPr>
      <w:r>
        <w:rPr>
          <w:rFonts w:hint="eastAsia" w:ascii="宋体" w:hAnsi="宋体" w:eastAsia="宋体"/>
          <w:bCs/>
          <w:color w:val="000000" w:themeColor="text1"/>
          <w:szCs w:val="21"/>
        </w:rPr>
        <w:t>企业</w:t>
      </w:r>
      <w:r>
        <w:rPr>
          <w:rFonts w:hint="eastAsia" w:ascii="宋体" w:hAnsi="宋体" w:eastAsia="宋体"/>
          <w:bCs/>
          <w:color w:val="000000" w:themeColor="text1"/>
          <w:szCs w:val="21"/>
          <w:lang w:val="en-US" w:eastAsia="zh-CN"/>
        </w:rPr>
        <w:t>2021.年</w:t>
      </w:r>
      <w:r>
        <w:rPr>
          <w:rFonts w:hint="eastAsia" w:ascii="宋体" w:hAnsi="宋体" w:eastAsia="宋体"/>
          <w:bCs/>
          <w:color w:val="000000" w:themeColor="text1"/>
          <w:szCs w:val="21"/>
        </w:rPr>
        <w:t>耗能</w:t>
      </w:r>
      <w:r>
        <w:rPr>
          <w:rFonts w:hint="eastAsia" w:ascii="宋体" w:hAnsi="宋体" w:eastAsia="宋体"/>
          <w:bCs/>
          <w:color w:val="000000" w:themeColor="text1"/>
          <w:szCs w:val="21"/>
          <w:lang w:val="en-US" w:eastAsia="zh-CN"/>
        </w:rPr>
        <w:t>2.4957</w:t>
      </w:r>
      <w:r>
        <w:rPr>
          <w:rFonts w:hint="eastAsia" w:ascii="宋体" w:hAnsi="宋体" w:eastAsia="宋体"/>
          <w:bCs/>
          <w:color w:val="000000" w:themeColor="text1"/>
          <w:szCs w:val="21"/>
        </w:rPr>
        <w:t>万吨标准煤。</w:t>
      </w:r>
      <w:r>
        <w:rPr>
          <w:rFonts w:hint="eastAsia" w:ascii="宋体" w:hAnsi="宋体" w:eastAsia="宋体"/>
          <w:bCs/>
          <w:color w:val="000000" w:themeColor="text1"/>
          <w:szCs w:val="21"/>
          <w:lang w:val="en-US" w:eastAsia="zh-CN"/>
        </w:rPr>
        <w:t>是重点</w:t>
      </w:r>
      <w:r>
        <w:rPr>
          <w:rFonts w:hint="eastAsia" w:ascii="宋体" w:hAnsi="宋体" w:eastAsia="宋体"/>
          <w:bCs/>
          <w:color w:val="000000" w:themeColor="text1"/>
          <w:szCs w:val="21"/>
        </w:rPr>
        <w:t>耗能单位，企业建立了能源测量设备明细表，能源测量设备配备率满足要求。进出用能单位，应配</w:t>
      </w:r>
      <w:r>
        <w:rPr>
          <w:rFonts w:hint="eastAsia" w:ascii="宋体" w:hAnsi="宋体" w:eastAsia="宋体"/>
          <w:bCs/>
          <w:color w:val="000000" w:themeColor="text1"/>
          <w:szCs w:val="21"/>
          <w:lang w:val="en-US" w:eastAsia="zh-CN"/>
        </w:rPr>
        <w:t>7</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7</w:t>
      </w:r>
      <w:r>
        <w:rPr>
          <w:rFonts w:hint="eastAsia" w:ascii="宋体" w:hAnsi="宋体" w:eastAsia="宋体"/>
          <w:bCs/>
          <w:color w:val="000000" w:themeColor="text1"/>
          <w:szCs w:val="21"/>
        </w:rPr>
        <w:t>台（件）；进出主要次级用能单位，应配 ：</w:t>
      </w:r>
      <w:r>
        <w:rPr>
          <w:rFonts w:hint="eastAsia" w:ascii="宋体" w:hAnsi="宋体" w:eastAsia="宋体"/>
          <w:bCs/>
          <w:color w:val="000000" w:themeColor="text1"/>
          <w:szCs w:val="21"/>
          <w:lang w:val="en-US" w:eastAsia="zh-CN"/>
        </w:rPr>
        <w:t>47</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47</w:t>
      </w:r>
      <w:r>
        <w:rPr>
          <w:rFonts w:hint="eastAsia" w:ascii="宋体" w:hAnsi="宋体" w:eastAsia="宋体"/>
          <w:bCs/>
          <w:color w:val="000000" w:themeColor="text1"/>
          <w:szCs w:val="21"/>
        </w:rPr>
        <w:t>台（件）；现场抽查测量设备配备率满足要求，能源计量管理满足GB17167要求。</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rPr>
        <w:t>5.对认证审核时提出的的不符合项的纠正措施情况有表述： </w:t>
      </w:r>
    </w:p>
    <w:p>
      <w:pPr>
        <w:widowControl/>
        <w:spacing w:line="360" w:lineRule="auto"/>
        <w:jc w:val="left"/>
        <w:rPr>
          <w:rFonts w:hint="eastAsia" w:ascii="宋体" w:hAnsi="宋体" w:eastAsia="宋体"/>
          <w:bCs/>
          <w:color w:val="000000" w:themeColor="text1"/>
          <w:szCs w:val="21"/>
        </w:rPr>
      </w:pPr>
      <w:r>
        <w:rPr>
          <w:rFonts w:hint="eastAsia" w:ascii="宋体" w:hAnsi="宋体" w:eastAsia="宋体"/>
          <w:bCs/>
          <w:color w:val="000000" w:themeColor="text1"/>
          <w:szCs w:val="21"/>
        </w:rPr>
        <w:t>经检查企业对2020年度</w:t>
      </w:r>
      <w:r>
        <w:rPr>
          <w:rFonts w:hint="eastAsia" w:ascii="宋体" w:hAnsi="宋体" w:eastAsia="宋体"/>
          <w:bCs/>
          <w:color w:val="000000" w:themeColor="text1"/>
          <w:szCs w:val="21"/>
          <w:lang w:val="en-US" w:eastAsia="zh-CN"/>
        </w:rPr>
        <w:t>未</w:t>
      </w:r>
      <w:r>
        <w:rPr>
          <w:rFonts w:hint="eastAsia" w:ascii="宋体" w:hAnsi="宋体" w:eastAsia="宋体"/>
          <w:bCs/>
          <w:color w:val="000000" w:themeColor="text1"/>
          <w:szCs w:val="21"/>
        </w:rPr>
        <w:t>发现不符合项</w:t>
      </w:r>
      <w:r>
        <w:rPr>
          <w:rFonts w:hint="eastAsia" w:ascii="宋体" w:hAnsi="宋体" w:eastAsia="宋体"/>
          <w:bCs/>
          <w:color w:val="000000" w:themeColor="text1"/>
          <w:szCs w:val="21"/>
          <w:lang w:eastAsia="zh-CN"/>
        </w:rPr>
        <w:t>：</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lang w:val="en-US" w:eastAsia="zh-CN"/>
        </w:rPr>
        <w:t>6.</w:t>
      </w:r>
      <w:r>
        <w:rPr>
          <w:rFonts w:hint="eastAsia" w:ascii="宋体" w:hAnsi="宋体" w:eastAsia="宋体"/>
          <w:bCs/>
          <w:color w:val="000000" w:themeColor="text1"/>
          <w:szCs w:val="21"/>
        </w:rPr>
        <w:t>对投诉的处理情况：</w:t>
      </w:r>
    </w:p>
    <w:p>
      <w:pPr>
        <w:widowControl/>
        <w:spacing w:line="360" w:lineRule="auto"/>
        <w:ind w:firstLine="210" w:firstLineChars="100"/>
        <w:rPr>
          <w:rFonts w:hint="eastAsia" w:ascii="宋体" w:hAnsi="宋体" w:eastAsia="宋体"/>
          <w:bCs/>
          <w:color w:val="000000" w:themeColor="text1"/>
          <w:szCs w:val="21"/>
        </w:rPr>
      </w:pPr>
      <w:r>
        <w:rPr>
          <w:rFonts w:hint="eastAsia" w:ascii="宋体" w:hAnsi="宋体" w:eastAsia="宋体"/>
          <w:bCs/>
          <w:color w:val="000000" w:themeColor="text1"/>
          <w:szCs w:val="21"/>
        </w:rPr>
        <w:t>企业202</w:t>
      </w:r>
      <w:r>
        <w:rPr>
          <w:rFonts w:hint="eastAsia" w:ascii="宋体" w:hAnsi="宋体" w:eastAsia="宋体"/>
          <w:bCs/>
          <w:color w:val="000000" w:themeColor="text1"/>
          <w:szCs w:val="21"/>
          <w:lang w:val="en-US" w:eastAsia="zh-CN"/>
        </w:rPr>
        <w:t>1</w:t>
      </w:r>
      <w:r>
        <w:rPr>
          <w:rFonts w:hint="eastAsia" w:ascii="宋体" w:hAnsi="宋体" w:eastAsia="宋体"/>
          <w:bCs/>
          <w:color w:val="000000" w:themeColor="text1"/>
          <w:szCs w:val="21"/>
        </w:rPr>
        <w:t>年有未有顾客的投诉。企业未有违反法律、法规问题和产品质量问题的投诉或重大质量事故发生。</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7.</w:t>
      </w: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8</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21</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11月</w:t>
      </w:r>
      <w:r>
        <w:rPr>
          <w:rFonts w:hint="eastAsia" w:ascii="宋体" w:hAnsi="宋体" w:eastAsia="宋体"/>
          <w:bCs/>
          <w:color w:val="000000" w:themeColor="text1"/>
          <w:szCs w:val="21"/>
        </w:rPr>
        <w:t>到</w:t>
      </w:r>
      <w:r>
        <w:rPr>
          <w:rFonts w:hint="eastAsia" w:ascii="宋体" w:hAnsi="宋体" w:eastAsia="宋体"/>
          <w:bCs/>
          <w:color w:val="000000" w:themeColor="text1"/>
          <w:szCs w:val="21"/>
          <w:lang w:val="en-US" w:eastAsia="zh-CN"/>
        </w:rPr>
        <w:t>2021</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11</w:t>
      </w:r>
      <w:r>
        <w:rPr>
          <w:rFonts w:hint="eastAsia" w:ascii="宋体" w:hAnsi="宋体" w:eastAsia="宋体"/>
          <w:bCs/>
          <w:color w:val="000000" w:themeColor="text1"/>
          <w:szCs w:val="21"/>
        </w:rPr>
        <w:t>月质量目标完成情况检查表，按目标、措施、完成情况进行</w:t>
      </w:r>
      <w:r>
        <w:rPr>
          <w:rFonts w:hint="eastAsia" w:ascii="宋体" w:hAnsi="宋体" w:eastAsia="宋体"/>
          <w:bCs/>
          <w:color w:val="000000" w:themeColor="text1"/>
          <w:szCs w:val="21"/>
          <w:lang w:val="en-US" w:eastAsia="zh-CN"/>
        </w:rPr>
        <w:t>了</w:t>
      </w:r>
      <w:r>
        <w:rPr>
          <w:rFonts w:hint="eastAsia" w:ascii="宋体" w:hAnsi="宋体" w:eastAsia="宋体"/>
          <w:bCs/>
          <w:color w:val="000000" w:themeColor="text1"/>
          <w:szCs w:val="21"/>
        </w:rPr>
        <w:t>统计，记录内容</w:t>
      </w:r>
      <w:r>
        <w:rPr>
          <w:rFonts w:hint="eastAsia" w:ascii="宋体" w:hAnsi="宋体" w:eastAsia="宋体"/>
          <w:bCs/>
          <w:color w:val="000000" w:themeColor="text1"/>
          <w:szCs w:val="21"/>
          <w:lang w:val="en-US" w:eastAsia="zh-CN"/>
        </w:rPr>
        <w:t>齐</w:t>
      </w:r>
      <w:r>
        <w:rPr>
          <w:rFonts w:hint="eastAsia" w:ascii="宋体" w:hAnsi="宋体" w:eastAsia="宋体"/>
          <w:bCs/>
          <w:color w:val="000000" w:themeColor="text1"/>
          <w:szCs w:val="21"/>
        </w:rPr>
        <w:t>全，每月统计，质量目标管理满足要求。</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9.</w:t>
      </w:r>
      <w:r>
        <w:rPr>
          <w:rFonts w:hint="eastAsia" w:asciiTheme="minorEastAsia" w:hAnsiTheme="minorEastAsia"/>
          <w:bCs/>
          <w:color w:val="000000" w:themeColor="text1"/>
          <w:szCs w:val="21"/>
        </w:rPr>
        <w:t>标志的使用和（或）任何其他对认证资格引用</w:t>
      </w:r>
      <w:r>
        <w:rPr>
          <w:rFonts w:asciiTheme="minorEastAsia" w:hAnsiTheme="minorEastAsia"/>
          <w:bCs/>
          <w:color w:val="000000" w:themeColor="text1"/>
          <w:szCs w:val="21"/>
        </w:rPr>
        <w:t>的情况：</w:t>
      </w:r>
    </w:p>
    <w:p>
      <w:pPr>
        <w:widowControl/>
        <w:numPr>
          <w:ilvl w:val="0"/>
          <w:numId w:val="0"/>
        </w:numPr>
        <w:spacing w:line="360" w:lineRule="auto"/>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w:t>
      </w:r>
      <w:r>
        <w:rPr>
          <w:rFonts w:hint="eastAsia" w:asciiTheme="minorEastAsia" w:hAnsiTheme="minorEastAsia"/>
          <w:bCs/>
          <w:color w:val="000000" w:themeColor="text1"/>
          <w:szCs w:val="21"/>
        </w:rPr>
        <w:t>用于企业的形象宣传。</w:t>
      </w:r>
    </w:p>
    <w:p>
      <w:pPr>
        <w:widowControl/>
        <w:spacing w:line="360" w:lineRule="auto"/>
        <w:jc w:val="left"/>
        <w:rPr>
          <w:rFonts w:hint="default" w:ascii="宋体" w:hAnsi="宋体" w:cs="宋体"/>
          <w:kern w:val="0"/>
          <w:szCs w:val="21"/>
          <w:lang w:val="en-US"/>
        </w:rPr>
      </w:pPr>
      <w:r>
        <w:rPr>
          <w:rFonts w:hint="eastAsia" w:asciiTheme="minorEastAsia" w:hAnsiTheme="minorEastAsia"/>
          <w:bCs/>
          <w:color w:val="000000" w:themeColor="text1"/>
          <w:szCs w:val="21"/>
          <w:lang w:val="en-US" w:eastAsia="zh-CN"/>
        </w:rPr>
        <w:t>10.</w:t>
      </w:r>
      <w:r>
        <w:rPr>
          <w:rFonts w:hint="eastAsia" w:asciiTheme="minorEastAsia" w:hAnsiTheme="minorEastAsia"/>
          <w:bCs/>
          <w:color w:val="000000" w:themeColor="text1"/>
          <w:szCs w:val="21"/>
        </w:rPr>
        <w:t xml:space="preserve"> 本次监督审核未发现不符合</w:t>
      </w:r>
      <w:r>
        <w:rPr>
          <w:rFonts w:hint="eastAsia" w:asciiTheme="minorEastAsia" w:hAnsiTheme="minorEastAsia"/>
          <w:bCs/>
          <w:color w:val="000000" w:themeColor="text1"/>
          <w:szCs w:val="21"/>
          <w:lang w:val="en-US" w:eastAsia="zh-CN"/>
        </w:rPr>
        <w:t>项</w:t>
      </w:r>
      <w:r>
        <w:rPr>
          <w:rFonts w:hint="eastAsia" w:asciiTheme="minorEastAsia" w:hAnsiTheme="minorEastAsia"/>
          <w:bCs/>
          <w:color w:val="000000" w:themeColor="text1"/>
          <w:szCs w:val="21"/>
        </w:rPr>
        <w:t>，未发现严重的或系统性的不符合情况</w:t>
      </w:r>
      <w:r>
        <w:rPr>
          <w:rFonts w:hint="eastAsia" w:asciiTheme="minorEastAsia" w:hAnsiTheme="minorEastAsia"/>
          <w:bCs/>
          <w:color w:val="000000" w:themeColor="text1"/>
          <w:szCs w:val="21"/>
          <w:lang w:eastAsia="zh-CN"/>
        </w:rPr>
        <w:t>。</w:t>
      </w:r>
    </w:p>
    <w:p>
      <w:pPr>
        <w:widowControl/>
        <w:spacing w:line="360" w:lineRule="auto"/>
        <w:rPr>
          <w:rFonts w:hint="eastAsia" w:asciiTheme="minorEastAsia" w:hAnsiTheme="minorEastAsia" w:eastAsiaTheme="minorEastAsia"/>
          <w:bCs/>
          <w:color w:val="000000" w:themeColor="text1"/>
          <w:szCs w:val="21"/>
          <w:lang w:eastAsia="zh-CN"/>
        </w:rPr>
      </w:pPr>
      <w:r>
        <w:rPr>
          <w:rFonts w:hint="eastAsia" w:asciiTheme="minorEastAsia" w:hAnsiTheme="minorEastAsia"/>
          <w:bCs/>
          <w:color w:val="000000" w:themeColor="text1"/>
          <w:szCs w:val="21"/>
        </w:rPr>
        <w:t>三、监督审核结论意见</w:t>
      </w:r>
      <w:r>
        <w:rPr>
          <w:rFonts w:hint="eastAsia" w:asciiTheme="minorEastAsia" w:hAnsiTheme="minorEastAsia"/>
          <w:bCs/>
          <w:color w:val="000000" w:themeColor="text1"/>
          <w:szCs w:val="21"/>
          <w:lang w:eastAsia="zh-CN"/>
        </w:rPr>
        <w:t>：</w:t>
      </w:r>
    </w:p>
    <w:p>
      <w:pPr>
        <w:widowControl/>
        <w:spacing w:line="360" w:lineRule="auto"/>
        <w:ind w:firstLine="630" w:firstLineChars="300"/>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通过20</w:t>
      </w:r>
      <w:r>
        <w:rPr>
          <w:rFonts w:hint="eastAsia" w:asciiTheme="minorEastAsia" w:hAnsiTheme="minorEastAsia"/>
          <w:bCs/>
          <w:color w:val="000000" w:themeColor="text1"/>
          <w:szCs w:val="21"/>
          <w:lang w:val="en-US" w:eastAsia="zh-CN"/>
        </w:rPr>
        <w:t>21</w:t>
      </w:r>
      <w:r>
        <w:rPr>
          <w:rFonts w:hint="eastAsia" w:asciiTheme="minorEastAsia" w:hAnsiTheme="minorEastAsia"/>
          <w:bCs/>
          <w:color w:val="000000" w:themeColor="text1"/>
          <w:szCs w:val="21"/>
        </w:rPr>
        <w:t>年</w:t>
      </w:r>
      <w:r>
        <w:rPr>
          <w:rFonts w:hint="eastAsia" w:asciiTheme="minorEastAsia" w:hAnsiTheme="minorEastAsia"/>
          <w:bCs/>
          <w:color w:val="000000" w:themeColor="text1"/>
          <w:szCs w:val="21"/>
          <w:lang w:val="en-US" w:eastAsia="zh-CN"/>
        </w:rPr>
        <w:t>12</w:t>
      </w:r>
      <w:r>
        <w:rPr>
          <w:rFonts w:hint="eastAsia" w:asciiTheme="minorEastAsia" w:hAnsiTheme="minorEastAsia"/>
          <w:bCs/>
          <w:color w:val="000000" w:themeColor="text1"/>
          <w:szCs w:val="21"/>
        </w:rPr>
        <w:t>月</w:t>
      </w: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日，对</w:t>
      </w:r>
      <w:r>
        <w:rPr>
          <w:rFonts w:hint="eastAsia" w:asciiTheme="minorEastAsia" w:hAnsiTheme="minorEastAsia"/>
          <w:bCs/>
          <w:color w:val="000000" w:themeColor="text1"/>
          <w:szCs w:val="21"/>
          <w:lang w:eastAsia="zh-CN"/>
        </w:rPr>
        <w:t>成都印钞有限公司</w:t>
      </w:r>
      <w:r>
        <w:rPr>
          <w:rFonts w:hint="eastAsia" w:asciiTheme="minorEastAsia" w:hAnsiTheme="minorEastAsia"/>
          <w:bCs/>
          <w:color w:val="000000" w:themeColor="text1"/>
          <w:szCs w:val="21"/>
        </w:rPr>
        <w:t>监督审核.验证了公司在去年一年内，测量管理体系运作情况，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hint="eastAsia" w:asciiTheme="minorEastAsia" w:hAnsiTheme="minorEastAsia"/>
          <w:bCs/>
          <w:color w:val="000000" w:themeColor="text1"/>
          <w:szCs w:val="21"/>
          <w:lang w:eastAsia="zh-CN"/>
        </w:rPr>
        <w:t>成都印钞有限公司</w:t>
      </w:r>
      <w:r>
        <w:rPr>
          <w:rFonts w:hint="eastAsia" w:asciiTheme="minorEastAsia" w:hAnsiTheme="minorEastAsia"/>
          <w:bCs/>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360" w:lineRule="auto"/>
        <w:rPr>
          <w:rFonts w:hint="default" w:asciiTheme="minorEastAsia" w:hAnsiTheme="minorEastAsia" w:eastAsiaTheme="minorEastAsia"/>
          <w:bCs/>
          <w:color w:val="000000" w:themeColor="text1"/>
          <w:szCs w:val="21"/>
          <w:lang w:val="en-US" w:eastAsia="zh-CN"/>
        </w:rPr>
      </w:pPr>
      <w:r>
        <w:rPr>
          <w:rFonts w:hint="eastAsia" w:asciiTheme="minorEastAsia" w:hAnsiTheme="minorEastAsia"/>
          <w:bCs/>
          <w:color w:val="000000" w:themeColor="text1"/>
          <w:szCs w:val="21"/>
          <w:lang w:val="en-US" w:eastAsia="zh-CN"/>
        </w:rPr>
        <w:t>为了更好的完善和提高</w:t>
      </w:r>
      <w:r>
        <w:rPr>
          <w:rFonts w:hint="eastAsia" w:asciiTheme="minorEastAsia" w:hAnsiTheme="minorEastAsia"/>
          <w:bCs/>
          <w:color w:val="000000" w:themeColor="text1"/>
          <w:szCs w:val="21"/>
          <w:lang w:eastAsia="zh-CN"/>
        </w:rPr>
        <w:t>成都印钞有限公司</w:t>
      </w:r>
      <w:r>
        <w:rPr>
          <w:rFonts w:hint="eastAsia" w:asciiTheme="minorEastAsia" w:hAnsiTheme="minorEastAsia"/>
          <w:bCs/>
          <w:color w:val="000000" w:themeColor="text1"/>
          <w:szCs w:val="21"/>
          <w:lang w:val="en-US" w:eastAsia="zh-CN"/>
        </w:rPr>
        <w:t>测量管理体系的水平特提以下建议</w:t>
      </w:r>
      <w:r>
        <w:rPr>
          <w:rFonts w:hint="eastAsia" w:ascii="宋体" w:hAnsi="宋体" w:eastAsia="宋体" w:cs="宋体"/>
          <w:bCs/>
          <w:color w:val="000000" w:themeColor="text1"/>
          <w:szCs w:val="21"/>
          <w:lang w:val="en-US" w:eastAsia="zh-CN"/>
        </w:rPr>
        <w:t>:</w:t>
      </w:r>
    </w:p>
    <w:p>
      <w:pPr>
        <w:pStyle w:val="11"/>
        <w:numPr>
          <w:ilvl w:val="0"/>
          <w:numId w:val="1"/>
        </w:numPr>
        <w:ind w:firstLineChars="0"/>
        <w:jc w:val="left"/>
        <w:rPr>
          <w:rFonts w:hint="eastAsia"/>
          <w:sz w:val="21"/>
          <w:szCs w:val="21"/>
        </w:rPr>
      </w:pPr>
      <w:r>
        <w:rPr>
          <w:rFonts w:hint="eastAsia"/>
          <w:sz w:val="21"/>
          <w:szCs w:val="21"/>
        </w:rPr>
        <w:t>由主管工艺的部门完善和建立测量过程一览表，方便于执行单位执行，监督单位的监督，明确执行单位和监督单位的职能。</w:t>
      </w:r>
    </w:p>
    <w:p>
      <w:pPr>
        <w:pStyle w:val="11"/>
        <w:numPr>
          <w:ilvl w:val="0"/>
          <w:numId w:val="1"/>
        </w:numPr>
        <w:ind w:firstLineChars="0"/>
        <w:jc w:val="left"/>
        <w:rPr>
          <w:rFonts w:hint="eastAsia"/>
          <w:sz w:val="21"/>
          <w:szCs w:val="21"/>
        </w:rPr>
      </w:pPr>
      <w:r>
        <w:rPr>
          <w:rFonts w:hint="eastAsia"/>
          <w:sz w:val="21"/>
          <w:szCs w:val="21"/>
        </w:rPr>
        <w:t>结合企业组织和企业发展情况，进一步修订企业测量管理手册和程序文件，以适应公司发展需要。</w:t>
      </w:r>
    </w:p>
    <w:p>
      <w:pPr>
        <w:pStyle w:val="11"/>
        <w:numPr>
          <w:ilvl w:val="0"/>
          <w:numId w:val="1"/>
        </w:numPr>
        <w:ind w:firstLineChars="0"/>
        <w:jc w:val="left"/>
        <w:rPr>
          <w:sz w:val="21"/>
          <w:szCs w:val="21"/>
        </w:rPr>
      </w:pPr>
      <w:r>
        <w:rPr>
          <w:rFonts w:hint="eastAsia"/>
          <w:sz w:val="21"/>
          <w:szCs w:val="21"/>
        </w:rPr>
        <w:t>继续加强对一线测量管理体系的管理人员和操作人员的知识培训，要适应新科技的发展，以适应新的测量方法和测量技术，特别是测量软件的监控和管理。</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1555115</wp:posOffset>
            </wp:positionH>
            <wp:positionV relativeFrom="paragraph">
              <wp:posOffset>252095</wp:posOffset>
            </wp:positionV>
            <wp:extent cx="955040" cy="347980"/>
            <wp:effectExtent l="0" t="0" r="10160" b="7620"/>
            <wp:wrapNone/>
            <wp:docPr id="2" name="图片 2" descr="53a5a87445d9ecd06a7f052ba54a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a5a87445d9ecd06a7f052ba54a707"/>
                    <pic:cNvPicPr>
                      <a:picLocks noChangeAspect="1"/>
                    </pic:cNvPicPr>
                  </pic:nvPicPr>
                  <pic:blipFill>
                    <a:blip r:embed="rId6">
                      <a:clrChange>
                        <a:clrFrom>
                          <a:srgbClr val="A8A19B"/>
                        </a:clrFrom>
                        <a:clrTo>
                          <a:srgbClr val="A8A19B">
                            <a:alpha val="0"/>
                          </a:srgbClr>
                        </a:clrTo>
                      </a:clrChange>
                      <a:biLevel thresh="50000"/>
                      <a:grayscl/>
                    </a:blip>
                    <a:stretch>
                      <a:fillRect/>
                    </a:stretch>
                  </pic:blipFill>
                  <pic:spPr>
                    <a:xfrm>
                      <a:off x="0" y="0"/>
                      <a:ext cx="955040" cy="347980"/>
                    </a:xfrm>
                    <a:prstGeom prst="rect">
                      <a:avLst/>
                    </a:prstGeom>
                    <a:noFill/>
                    <a:ln>
                      <a:noFill/>
                    </a:ln>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2021.12.08</w:t>
      </w:r>
    </w:p>
    <w:p>
      <w:pPr>
        <w:widowControl/>
        <w:spacing w:line="360" w:lineRule="auto"/>
        <w:jc w:val="left"/>
        <w:rPr>
          <w:rFonts w:ascii="宋体" w:hAnsi="宋体" w:eastAsia="宋体" w:cs="宋体"/>
          <w:kern w:val="0"/>
          <w:szCs w:val="21"/>
        </w:rPr>
      </w:pPr>
      <w:bookmarkStart w:id="10" w:name="_GoBack"/>
      <w:bookmarkEnd w:id="10"/>
    </w:p>
    <w:p>
      <w:pPr>
        <w:widowControl/>
        <w:spacing w:line="360" w:lineRule="auto"/>
        <w:jc w:val="left"/>
        <w:rPr>
          <w:rFonts w:hint="default"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Times New Roman" w:hAnsi="Times New Roman" w:eastAsia="宋体" w:cs="Times New Roman"/>
          <w:szCs w:val="21"/>
        </w:rPr>
        <w:drawing>
          <wp:inline distT="0" distB="0" distL="114300" distR="114300">
            <wp:extent cx="938530" cy="366395"/>
            <wp:effectExtent l="0" t="0" r="0" b="1905"/>
            <wp:docPr id="3" name="图片 3" descr="胡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胡琳"/>
                    <pic:cNvPicPr>
                      <a:picLocks noChangeAspect="1"/>
                    </pic:cNvPicPr>
                  </pic:nvPicPr>
                  <pic:blipFill>
                    <a:blip r:embed="rId7"/>
                    <a:stretch>
                      <a:fillRect/>
                    </a:stretch>
                  </pic:blipFill>
                  <pic:spPr>
                    <a:xfrm>
                      <a:off x="0" y="0"/>
                      <a:ext cx="938530" cy="366395"/>
                    </a:xfrm>
                    <a:prstGeom prst="rect">
                      <a:avLst/>
                    </a:prstGeom>
                  </pic:spPr>
                </pic:pic>
              </a:graphicData>
            </a:graphic>
          </wp:inline>
        </w:drawing>
      </w:r>
      <w:r>
        <w:rPr>
          <w:rFonts w:hint="eastAsia" w:ascii="宋体" w:hAnsi="宋体" w:eastAsia="宋体" w:cs="宋体"/>
          <w:color w:val="000000"/>
          <w:kern w:val="0"/>
          <w:szCs w:val="21"/>
        </w:rPr>
        <w:t xml:space="preserve"> </w:t>
      </w:r>
      <w:r>
        <w:rPr>
          <w:rFonts w:hint="eastAsia"/>
          <w:sz w:val="24"/>
          <w:szCs w:val="24"/>
        </w:rPr>
        <w:drawing>
          <wp:inline distT="0" distB="0" distL="114300" distR="114300">
            <wp:extent cx="728980" cy="310515"/>
            <wp:effectExtent l="0" t="0" r="0" b="6985"/>
            <wp:docPr id="4" name="图片 1" descr="程万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程万荣"/>
                    <pic:cNvPicPr>
                      <a:picLocks noChangeAspect="1"/>
                    </pic:cNvPicPr>
                  </pic:nvPicPr>
                  <pic:blipFill>
                    <a:blip r:embed="rId8"/>
                    <a:stretch>
                      <a:fillRect/>
                    </a:stretch>
                  </pic:blipFill>
                  <pic:spPr>
                    <a:xfrm>
                      <a:off x="0" y="0"/>
                      <a:ext cx="728980" cy="310515"/>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2021.12.08</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D8038F"/>
    <w:multiLevelType w:val="multilevel"/>
    <w:tmpl w:val="51D803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49405F"/>
    <w:rsid w:val="08636240"/>
    <w:rsid w:val="2E922A29"/>
    <w:rsid w:val="34A9373D"/>
    <w:rsid w:val="39280FCC"/>
    <w:rsid w:val="46BA179A"/>
    <w:rsid w:val="48BB06DB"/>
    <w:rsid w:val="543F723C"/>
    <w:rsid w:val="633D631A"/>
    <w:rsid w:val="681555B8"/>
    <w:rsid w:val="6F203F58"/>
    <w:rsid w:val="7117177F"/>
    <w:rsid w:val="7D9410A7"/>
    <w:rsid w:val="7E1A4B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0</TotalTime>
  <ScaleCrop>false</ScaleCrop>
  <LinksUpToDate>false</LinksUpToDate>
  <CharactersWithSpaces>2163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兴武老孙</cp:lastModifiedBy>
  <cp:lastPrinted>2017-09-01T06:24:00Z</cp:lastPrinted>
  <dcterms:modified xsi:type="dcterms:W3CDTF">2021-12-11T11:08:36Z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BEFAEDC883304FB78CB75195738C6B87</vt:lpwstr>
  </property>
</Properties>
</file>