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0139-2018-2021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黑龙江华睿智慧国土科技开发股份有限公司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GNSS接收机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SG13A1126329494QAN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银河1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中、长基线标准偏差≤3mm+1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D短基线U≤1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D(K=2_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GNSS接收机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SG1399117045711QAN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银河1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中、长基线标准偏差≤3mm+1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D短基线U≤1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D(K=2_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NTS-332R6M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187389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测角II级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测距II级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精密水准仪经纬仪综合检验仪分度误差：MPE:±0.3″水平线偏差：±2″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全站仪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NTS-332R6M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187281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测角II级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测距II级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精密水准仪经纬仪综合检验仪分度误差：MPE:±0.3″水平线偏差：±2″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手持式激光测距仪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PD-510SC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007598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激光干涉仪U=0.2μm+1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各项目部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手持式激光测距仪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PD-510SC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007601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激光干涉仪U=0.2μm+1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10-7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2021.5.5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黑龙江测绘计量仪器检定站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设计部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337820" cy="810895"/>
                  <wp:effectExtent l="0" t="0" r="1905" b="5080"/>
                  <wp:docPr id="1" name="图片 1" descr="dc1c8ef6283538d90fc23c2c6d3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1c8ef6283538d90fc23c2c6d3334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36443" t="19621" r="25816" b="3853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782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F530E"/>
    <w:rsid w:val="69985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2021-12-06T03:23:00Z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CA936DF677F94B63A9D749736B08A851</vt:lpwstr>
  </property>
</Properties>
</file>