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领导层</w:t>
            </w:r>
            <w:r>
              <w:rPr>
                <w:sz w:val="21"/>
                <w:szCs w:val="21"/>
              </w:rPr>
              <w:t xml:space="preserve"> </w:t>
            </w:r>
            <w:r>
              <w:rPr>
                <w:rFonts w:hint="eastAsia"/>
                <w:sz w:val="21"/>
                <w:szCs w:val="21"/>
                <w:lang w:val="en-US" w:eastAsia="zh-CN"/>
              </w:rPr>
              <w:t xml:space="preserve">    </w:t>
            </w:r>
            <w:r>
              <w:rPr>
                <w:rFonts w:hint="eastAsia"/>
                <w:sz w:val="21"/>
                <w:szCs w:val="21"/>
              </w:rPr>
              <w:t>主管领导：</w:t>
            </w:r>
            <w:r>
              <w:rPr>
                <w:rFonts w:hint="eastAsia"/>
                <w:sz w:val="21"/>
                <w:szCs w:val="21"/>
                <w:lang w:val="en-US" w:eastAsia="zh-CN"/>
              </w:rPr>
              <w:t xml:space="preserve">杨凡、 李利平、陈达   </w:t>
            </w:r>
            <w:r>
              <w:rPr>
                <w:rFonts w:hint="eastAsia"/>
                <w:sz w:val="21"/>
                <w:szCs w:val="21"/>
              </w:rPr>
              <w:t>陪同人员：</w:t>
            </w:r>
            <w:r>
              <w:rPr>
                <w:rFonts w:hint="eastAsia"/>
                <w:sz w:val="21"/>
                <w:szCs w:val="21"/>
                <w:lang w:val="en-US" w:eastAsia="zh-CN"/>
              </w:rPr>
              <w:t>陈晚龙</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sz w:val="21"/>
                <w:szCs w:val="21"/>
              </w:rPr>
            </w:pPr>
            <w:r>
              <w:rPr>
                <w:rFonts w:hint="eastAsia"/>
                <w:sz w:val="21"/>
                <w:szCs w:val="21"/>
              </w:rPr>
              <w:t>审核员：</w:t>
            </w:r>
            <w:bookmarkStart w:id="0" w:name="审核组成员不含组长"/>
            <w:r>
              <w:rPr>
                <w:rFonts w:hint="eastAsia"/>
                <w:sz w:val="21"/>
                <w:szCs w:val="21"/>
              </w:rPr>
              <w:t>周文</w:t>
            </w:r>
            <w:bookmarkEnd w:id="0"/>
            <w:r>
              <w:rPr>
                <w:rFonts w:hint="eastAsia"/>
                <w:sz w:val="21"/>
                <w:szCs w:val="21"/>
                <w:lang w:val="en-US" w:eastAsia="zh-CN"/>
              </w:rPr>
              <w:t xml:space="preserve">  </w:t>
            </w:r>
            <w:r>
              <w:rPr>
                <w:rFonts w:hint="eastAsia"/>
                <w:sz w:val="21"/>
                <w:szCs w:val="21"/>
              </w:rPr>
              <w:t>审核时间：</w:t>
            </w:r>
            <w:bookmarkStart w:id="1" w:name="审核日期"/>
            <w:r>
              <w:rPr>
                <w:sz w:val="21"/>
                <w:szCs w:val="21"/>
              </w:rPr>
              <w:t>2021年</w:t>
            </w:r>
            <w:r>
              <w:rPr>
                <w:rFonts w:hint="eastAsia"/>
                <w:sz w:val="21"/>
                <w:szCs w:val="21"/>
                <w:lang w:val="en-US" w:eastAsia="zh-CN"/>
              </w:rPr>
              <w:t xml:space="preserve"> 12</w:t>
            </w:r>
            <w:r>
              <w:rPr>
                <w:sz w:val="21"/>
                <w:szCs w:val="21"/>
              </w:rPr>
              <w:t>月</w:t>
            </w:r>
            <w:r>
              <w:rPr>
                <w:rFonts w:hint="eastAsia"/>
                <w:sz w:val="21"/>
                <w:szCs w:val="21"/>
                <w:lang w:val="en-US" w:eastAsia="zh-CN"/>
              </w:rPr>
              <w:t xml:space="preserve"> 11-12</w:t>
            </w:r>
            <w:r>
              <w:rPr>
                <w:sz w:val="21"/>
                <w:szCs w:val="21"/>
              </w:rPr>
              <w:t xml:space="preserve">日 </w:t>
            </w:r>
            <w:bookmarkEnd w:id="1"/>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line="360" w:lineRule="auto"/>
              <w:rPr>
                <w:sz w:val="21"/>
                <w:szCs w:val="21"/>
              </w:rPr>
            </w:pPr>
            <w:r>
              <w:rPr>
                <w:rFonts w:hint="eastAsia"/>
                <w:sz w:val="21"/>
                <w:szCs w:val="21"/>
              </w:rPr>
              <w:t>审核条款：</w:t>
            </w:r>
            <w:r>
              <w:rPr>
                <w:sz w:val="21"/>
                <w:szCs w:val="21"/>
              </w:rPr>
              <w:t xml:space="preserve"> </w:t>
            </w:r>
          </w:p>
          <w:p>
            <w:pPr>
              <w:adjustRightInd w:val="0"/>
              <w:snapToGrid w:val="0"/>
              <w:spacing w:line="360" w:lineRule="auto"/>
              <w:ind w:right="105" w:rightChars="50"/>
              <w:textAlignment w:val="baseline"/>
              <w:rPr>
                <w:rFonts w:ascii="宋体" w:cs="Arial"/>
                <w:spacing w:val="-6"/>
                <w:sz w:val="21"/>
                <w:szCs w:val="21"/>
              </w:rPr>
            </w:pPr>
            <w:r>
              <w:rPr>
                <w:rFonts w:ascii="宋体" w:hAnsi="宋体" w:cs="Arial"/>
                <w:spacing w:val="-6"/>
                <w:sz w:val="21"/>
                <w:szCs w:val="21"/>
              </w:rPr>
              <w:t>QEO:4.1</w:t>
            </w:r>
            <w:r>
              <w:rPr>
                <w:rFonts w:hint="eastAsia" w:ascii="宋体" w:hAnsi="宋体" w:cs="Arial"/>
                <w:spacing w:val="-6"/>
                <w:sz w:val="21"/>
                <w:szCs w:val="21"/>
              </w:rPr>
              <w:t>理解组织及其环境、</w:t>
            </w:r>
            <w:r>
              <w:rPr>
                <w:rFonts w:ascii="宋体" w:hAnsi="宋体" w:cs="Arial"/>
                <w:spacing w:val="-6"/>
                <w:sz w:val="21"/>
                <w:szCs w:val="21"/>
              </w:rPr>
              <w:t>4.2</w:t>
            </w:r>
            <w:r>
              <w:rPr>
                <w:rFonts w:hint="eastAsia" w:ascii="宋体" w:hAnsi="宋体" w:cs="Arial"/>
                <w:spacing w:val="-6"/>
                <w:sz w:val="21"/>
                <w:szCs w:val="21"/>
              </w:rPr>
              <w:t>理解相关方的需求和期望、</w:t>
            </w:r>
            <w:r>
              <w:rPr>
                <w:rFonts w:ascii="宋体" w:hAnsi="宋体" w:cs="Arial"/>
                <w:spacing w:val="-6"/>
                <w:sz w:val="21"/>
                <w:szCs w:val="21"/>
              </w:rPr>
              <w:t xml:space="preserve">4.3 </w:t>
            </w:r>
            <w:r>
              <w:rPr>
                <w:rFonts w:hint="eastAsia" w:ascii="宋体" w:hAnsi="宋体" w:cs="Arial"/>
                <w:spacing w:val="-6"/>
                <w:sz w:val="21"/>
                <w:szCs w:val="21"/>
              </w:rPr>
              <w:t>确定管理体系的范围、</w:t>
            </w:r>
            <w:r>
              <w:rPr>
                <w:rFonts w:ascii="宋体" w:hAnsi="宋体" w:cs="Arial"/>
                <w:spacing w:val="-6"/>
                <w:sz w:val="21"/>
                <w:szCs w:val="21"/>
              </w:rPr>
              <w:t>4.4</w:t>
            </w:r>
            <w:r>
              <w:rPr>
                <w:rFonts w:hint="eastAsia" w:ascii="宋体" w:hAnsi="宋体" w:cs="Arial"/>
                <w:spacing w:val="-6"/>
                <w:sz w:val="21"/>
                <w:szCs w:val="21"/>
              </w:rPr>
              <w:t>质量</w:t>
            </w:r>
            <w:r>
              <w:rPr>
                <w:rFonts w:ascii="宋体" w:hAnsi="宋体" w:cs="Arial"/>
                <w:spacing w:val="-6"/>
                <w:sz w:val="21"/>
                <w:szCs w:val="21"/>
              </w:rPr>
              <w:t>/</w:t>
            </w:r>
            <w:r>
              <w:rPr>
                <w:rFonts w:hint="eastAsia" w:ascii="宋体" w:hAnsi="宋体" w:cs="Arial"/>
                <w:spacing w:val="-6"/>
                <w:sz w:val="21"/>
                <w:szCs w:val="21"/>
              </w:rPr>
              <w:t>环境</w:t>
            </w:r>
            <w:r>
              <w:rPr>
                <w:rFonts w:ascii="宋体" w:hAnsi="宋体" w:cs="Arial"/>
                <w:spacing w:val="-6"/>
                <w:sz w:val="21"/>
                <w:szCs w:val="21"/>
              </w:rPr>
              <w:t>/</w:t>
            </w:r>
            <w:r>
              <w:rPr>
                <w:rFonts w:hint="eastAsia" w:ascii="宋体" w:hAnsi="宋体" w:cs="Arial"/>
                <w:sz w:val="21"/>
                <w:szCs w:val="21"/>
              </w:rPr>
              <w:t>职业健康</w:t>
            </w:r>
            <w:r>
              <w:rPr>
                <w:rFonts w:hint="eastAsia" w:ascii="宋体" w:hAnsi="宋体" w:cs="Arial"/>
                <w:spacing w:val="-6"/>
                <w:sz w:val="21"/>
                <w:szCs w:val="21"/>
              </w:rPr>
              <w:t>安全管理体系及其过程、</w:t>
            </w:r>
            <w:r>
              <w:rPr>
                <w:rFonts w:ascii="宋体" w:hAnsi="宋体" w:cs="Arial"/>
                <w:spacing w:val="-6"/>
                <w:sz w:val="21"/>
                <w:szCs w:val="21"/>
              </w:rPr>
              <w:t>5.1</w:t>
            </w:r>
            <w:r>
              <w:rPr>
                <w:rFonts w:hint="eastAsia" w:ascii="宋体" w:hAnsi="宋体" w:cs="Arial"/>
                <w:spacing w:val="-6"/>
                <w:sz w:val="21"/>
                <w:szCs w:val="21"/>
              </w:rPr>
              <w:t>领导作用和承诺、</w:t>
            </w:r>
            <w:r>
              <w:rPr>
                <w:rFonts w:ascii="宋体" w:hAnsi="宋体" w:cs="Arial"/>
                <w:spacing w:val="-6"/>
                <w:sz w:val="21"/>
                <w:szCs w:val="21"/>
              </w:rPr>
              <w:t>5.2</w:t>
            </w:r>
            <w:r>
              <w:rPr>
                <w:rFonts w:hint="eastAsia" w:ascii="宋体" w:hAnsi="宋体" w:cs="Arial"/>
                <w:spacing w:val="-6"/>
                <w:sz w:val="21"/>
                <w:szCs w:val="21"/>
              </w:rPr>
              <w:t>质量</w:t>
            </w:r>
            <w:r>
              <w:rPr>
                <w:rFonts w:ascii="宋体" w:hAnsi="宋体" w:cs="Arial"/>
                <w:spacing w:val="-6"/>
                <w:sz w:val="21"/>
                <w:szCs w:val="21"/>
              </w:rPr>
              <w:t>/</w:t>
            </w:r>
            <w:r>
              <w:rPr>
                <w:rFonts w:hint="eastAsia" w:ascii="宋体" w:hAnsi="宋体" w:cs="Arial"/>
                <w:spacing w:val="-6"/>
                <w:sz w:val="21"/>
                <w:szCs w:val="21"/>
              </w:rPr>
              <w:t>环境</w:t>
            </w:r>
            <w:r>
              <w:rPr>
                <w:rFonts w:ascii="宋体" w:hAnsi="宋体" w:cs="Arial"/>
                <w:spacing w:val="-6"/>
                <w:sz w:val="21"/>
                <w:szCs w:val="21"/>
              </w:rPr>
              <w:t>/</w:t>
            </w:r>
            <w:r>
              <w:rPr>
                <w:rFonts w:hint="eastAsia" w:ascii="宋体" w:hAnsi="宋体" w:cs="Arial"/>
                <w:sz w:val="21"/>
                <w:szCs w:val="21"/>
              </w:rPr>
              <w:t>职业健康</w:t>
            </w:r>
            <w:r>
              <w:rPr>
                <w:rFonts w:hint="eastAsia" w:ascii="宋体" w:hAnsi="宋体" w:cs="Arial"/>
                <w:spacing w:val="-6"/>
                <w:sz w:val="21"/>
                <w:szCs w:val="21"/>
              </w:rPr>
              <w:t>安全方针、</w:t>
            </w:r>
            <w:r>
              <w:rPr>
                <w:rFonts w:ascii="宋体" w:hAnsi="宋体" w:cs="Arial"/>
                <w:spacing w:val="-6"/>
                <w:sz w:val="21"/>
                <w:szCs w:val="21"/>
              </w:rPr>
              <w:t>5.3</w:t>
            </w:r>
            <w:r>
              <w:rPr>
                <w:rFonts w:hint="eastAsia" w:ascii="宋体" w:hAnsi="宋体" w:cs="Arial"/>
                <w:spacing w:val="-6"/>
                <w:sz w:val="21"/>
                <w:szCs w:val="21"/>
              </w:rPr>
              <w:t>组织的岗位、职责和权限、</w:t>
            </w:r>
            <w:r>
              <w:rPr>
                <w:rFonts w:ascii="宋体" w:hAnsi="宋体" w:cs="Arial"/>
                <w:spacing w:val="-6"/>
                <w:sz w:val="21"/>
                <w:szCs w:val="21"/>
              </w:rPr>
              <w:t>O5.4</w:t>
            </w:r>
            <w:r>
              <w:rPr>
                <w:rFonts w:hint="eastAsia" w:ascii="宋体" w:hAnsi="宋体" w:cs="Arial"/>
                <w:spacing w:val="-6"/>
                <w:sz w:val="21"/>
                <w:szCs w:val="21"/>
              </w:rPr>
              <w:t>协商与参与、</w:t>
            </w:r>
            <w:r>
              <w:rPr>
                <w:rFonts w:ascii="宋体" w:hAnsi="宋体" w:cs="Arial"/>
                <w:spacing w:val="-6"/>
                <w:sz w:val="21"/>
                <w:szCs w:val="21"/>
              </w:rPr>
              <w:t>6.1</w:t>
            </w:r>
            <w:r>
              <w:rPr>
                <w:rFonts w:hint="eastAsia" w:ascii="宋体" w:hAnsi="宋体" w:cs="Arial"/>
                <w:spacing w:val="-6"/>
                <w:sz w:val="21"/>
                <w:szCs w:val="21"/>
              </w:rPr>
              <w:t>应对风险和机遇的措施、</w:t>
            </w:r>
            <w:r>
              <w:rPr>
                <w:rFonts w:ascii="宋体" w:hAnsi="宋体" w:cs="Arial"/>
                <w:spacing w:val="-6"/>
                <w:sz w:val="21"/>
                <w:szCs w:val="21"/>
              </w:rPr>
              <w:t>6.2</w:t>
            </w:r>
            <w:r>
              <w:rPr>
                <w:rFonts w:hint="eastAsia" w:ascii="宋体" w:hAnsi="宋体" w:cs="Arial"/>
                <w:spacing w:val="-6"/>
                <w:sz w:val="21"/>
                <w:szCs w:val="21"/>
              </w:rPr>
              <w:t>质量</w:t>
            </w:r>
            <w:r>
              <w:rPr>
                <w:rFonts w:ascii="宋体" w:hAnsi="宋体" w:cs="Arial"/>
                <w:spacing w:val="-6"/>
                <w:sz w:val="21"/>
                <w:szCs w:val="21"/>
              </w:rPr>
              <w:t>/</w:t>
            </w:r>
            <w:r>
              <w:rPr>
                <w:rFonts w:hint="eastAsia" w:ascii="宋体" w:hAnsi="宋体" w:cs="Arial"/>
                <w:spacing w:val="-6"/>
                <w:sz w:val="21"/>
                <w:szCs w:val="21"/>
              </w:rPr>
              <w:t>环境</w:t>
            </w:r>
            <w:r>
              <w:rPr>
                <w:rFonts w:ascii="宋体" w:hAnsi="宋体" w:cs="Arial"/>
                <w:spacing w:val="-6"/>
                <w:sz w:val="21"/>
                <w:szCs w:val="21"/>
              </w:rPr>
              <w:t>/</w:t>
            </w:r>
            <w:r>
              <w:rPr>
                <w:rFonts w:hint="eastAsia" w:ascii="宋体" w:hAnsi="宋体" w:cs="Arial"/>
                <w:sz w:val="21"/>
                <w:szCs w:val="21"/>
              </w:rPr>
              <w:t>职业健康</w:t>
            </w:r>
            <w:r>
              <w:rPr>
                <w:rFonts w:hint="eastAsia" w:ascii="宋体" w:hAnsi="宋体" w:cs="Arial"/>
                <w:spacing w:val="-6"/>
                <w:sz w:val="21"/>
                <w:szCs w:val="21"/>
              </w:rPr>
              <w:t>安全目标及其实现的策划、</w:t>
            </w:r>
            <w:r>
              <w:rPr>
                <w:rFonts w:ascii="宋体" w:hAnsi="宋体" w:cs="Arial"/>
                <w:spacing w:val="-6"/>
                <w:sz w:val="21"/>
                <w:szCs w:val="21"/>
              </w:rPr>
              <w:t>Q6.3</w:t>
            </w:r>
            <w:r>
              <w:rPr>
                <w:rFonts w:hint="eastAsia" w:ascii="宋体" w:hAnsi="宋体" w:cs="Arial"/>
                <w:spacing w:val="-6"/>
                <w:sz w:val="21"/>
                <w:szCs w:val="21"/>
              </w:rPr>
              <w:t>变更的策划、</w:t>
            </w:r>
            <w:r>
              <w:rPr>
                <w:rFonts w:ascii="宋体" w:hAnsi="宋体" w:cs="Arial"/>
                <w:spacing w:val="-6"/>
                <w:sz w:val="21"/>
                <w:szCs w:val="21"/>
              </w:rPr>
              <w:t>7.1.1</w:t>
            </w:r>
            <w:r>
              <w:rPr>
                <w:rFonts w:hint="eastAsia" w:ascii="宋体" w:hAnsi="宋体" w:cs="Arial"/>
                <w:spacing w:val="-6"/>
                <w:sz w:val="21"/>
                <w:szCs w:val="21"/>
              </w:rPr>
              <w:t>（</w:t>
            </w:r>
            <w:r>
              <w:rPr>
                <w:rFonts w:ascii="宋体" w:hAnsi="宋体" w:cs="Arial"/>
                <w:spacing w:val="-6"/>
                <w:sz w:val="21"/>
                <w:szCs w:val="21"/>
              </w:rPr>
              <w:t>EO7.1</w:t>
            </w:r>
            <w:r>
              <w:rPr>
                <w:rFonts w:hint="eastAsia" w:ascii="宋体" w:hAnsi="宋体" w:cs="Arial"/>
                <w:spacing w:val="-6"/>
                <w:sz w:val="21"/>
                <w:szCs w:val="21"/>
              </w:rPr>
              <w:t>）资源总则、</w:t>
            </w:r>
            <w:r>
              <w:rPr>
                <w:rFonts w:ascii="宋体" w:hAnsi="宋体" w:cs="Arial"/>
                <w:spacing w:val="-6"/>
                <w:sz w:val="21"/>
                <w:szCs w:val="21"/>
              </w:rPr>
              <w:t>7.4</w:t>
            </w:r>
            <w:r>
              <w:rPr>
                <w:rFonts w:hint="eastAsia" w:ascii="宋体" w:hAnsi="宋体" w:cs="Arial"/>
                <w:spacing w:val="-6"/>
                <w:sz w:val="21"/>
                <w:szCs w:val="21"/>
              </w:rPr>
              <w:t>沟通</w:t>
            </w:r>
            <w:r>
              <w:rPr>
                <w:rFonts w:ascii="宋体" w:hAnsi="宋体" w:cs="Arial"/>
                <w:spacing w:val="-6"/>
                <w:sz w:val="21"/>
                <w:szCs w:val="21"/>
              </w:rPr>
              <w:t>/</w:t>
            </w:r>
            <w:r>
              <w:rPr>
                <w:rFonts w:hint="eastAsia" w:ascii="宋体" w:hAnsi="宋体" w:cs="Arial"/>
                <w:spacing w:val="-6"/>
                <w:sz w:val="21"/>
                <w:szCs w:val="21"/>
              </w:rPr>
              <w:t>信息交流、</w:t>
            </w:r>
            <w:r>
              <w:rPr>
                <w:rFonts w:hint="eastAsia" w:ascii="宋体" w:hAnsi="宋体" w:cs="Arial"/>
                <w:spacing w:val="-6"/>
                <w:sz w:val="21"/>
                <w:szCs w:val="21"/>
                <w:lang w:val="en-US" w:eastAsia="zh-CN"/>
              </w:rPr>
              <w:t>9.1（</w:t>
            </w:r>
            <w:r>
              <w:rPr>
                <w:rFonts w:hint="eastAsia" w:cs="Arial" w:asciiTheme="minorEastAsia" w:hAnsiTheme="minorEastAsia" w:eastAsiaTheme="minorEastAsia"/>
                <w:sz w:val="21"/>
                <w:szCs w:val="21"/>
              </w:rPr>
              <w:t>9.1.1监视、测量、分析和评价总则</w:t>
            </w:r>
            <w:r>
              <w:rPr>
                <w:rFonts w:hint="eastAsia" w:cs="Arial" w:asciiTheme="minorEastAsia" w:hAnsiTheme="minorEastAsia" w:eastAsiaTheme="minorEastAsia"/>
                <w:sz w:val="21"/>
                <w:szCs w:val="21"/>
                <w:lang w:eastAsia="zh-CN"/>
              </w:rPr>
              <w:t>）、</w:t>
            </w:r>
            <w:r>
              <w:rPr>
                <w:rFonts w:ascii="宋体" w:hAnsi="宋体" w:cs="Arial"/>
                <w:spacing w:val="-6"/>
                <w:sz w:val="21"/>
                <w:szCs w:val="21"/>
              </w:rPr>
              <w:t>9.3</w:t>
            </w:r>
            <w:r>
              <w:rPr>
                <w:rFonts w:hint="eastAsia" w:ascii="宋体" w:hAnsi="宋体" w:cs="Arial"/>
                <w:spacing w:val="-6"/>
                <w:sz w:val="21"/>
                <w:szCs w:val="21"/>
              </w:rPr>
              <w:t>管理评审、</w:t>
            </w:r>
            <w:r>
              <w:rPr>
                <w:rFonts w:ascii="宋体" w:hAnsi="宋体" w:cs="Arial"/>
                <w:spacing w:val="-6"/>
                <w:sz w:val="21"/>
                <w:szCs w:val="21"/>
              </w:rPr>
              <w:t>10.1</w:t>
            </w:r>
            <w:r>
              <w:rPr>
                <w:rFonts w:hint="eastAsia" w:ascii="宋体" w:hAnsi="宋体" w:cs="Arial"/>
                <w:spacing w:val="-6"/>
                <w:sz w:val="21"/>
                <w:szCs w:val="21"/>
              </w:rPr>
              <w:t>改进、</w:t>
            </w:r>
            <w:r>
              <w:rPr>
                <w:rFonts w:ascii="宋体" w:hAnsi="宋体" w:cs="Arial"/>
                <w:spacing w:val="-6"/>
                <w:sz w:val="21"/>
                <w:szCs w:val="21"/>
              </w:rPr>
              <w:t>10.3</w:t>
            </w:r>
            <w:r>
              <w:rPr>
                <w:rFonts w:hint="eastAsia" w:ascii="宋体" w:hAnsi="宋体" w:cs="Arial"/>
                <w:spacing w:val="-6"/>
                <w:sz w:val="21"/>
                <w:szCs w:val="21"/>
              </w:rPr>
              <w:t>持续改进，</w:t>
            </w:r>
          </w:p>
          <w:p>
            <w:pPr>
              <w:spacing w:line="360" w:lineRule="auto"/>
              <w:ind w:firstLine="396" w:firstLineChars="200"/>
              <w:rPr>
                <w:rFonts w:ascii="宋体" w:cs="Arial"/>
                <w:spacing w:val="-6"/>
                <w:sz w:val="21"/>
                <w:szCs w:val="21"/>
              </w:rPr>
            </w:pPr>
            <w:r>
              <w:rPr>
                <w:rFonts w:hint="eastAsia" w:ascii="宋体" w:hAnsi="宋体" w:cs="Arial"/>
                <w:spacing w:val="-6"/>
                <w:sz w:val="21"/>
                <w:szCs w:val="21"/>
              </w:rPr>
              <w:t>国家</w:t>
            </w:r>
            <w:r>
              <w:rPr>
                <w:rFonts w:ascii="宋体" w:hAnsi="宋体" w:cs="Arial"/>
                <w:spacing w:val="-6"/>
                <w:sz w:val="21"/>
                <w:szCs w:val="21"/>
              </w:rPr>
              <w:t>/</w:t>
            </w:r>
            <w:r>
              <w:rPr>
                <w:rFonts w:hint="eastAsia" w:ascii="宋体" w:hAnsi="宋体" w:cs="Arial"/>
                <w:spacing w:val="-6"/>
                <w:sz w:val="21"/>
                <w:szCs w:val="21"/>
              </w:rPr>
              <w:t>地方监督抽查情况；顾客满意、相关方投诉及处理情况；一阶段问题验证</w:t>
            </w:r>
          </w:p>
          <w:p>
            <w:pPr>
              <w:spacing w:line="360" w:lineRule="auto"/>
              <w:rPr>
                <w:sz w:val="21"/>
                <w:szCs w:val="21"/>
              </w:rPr>
            </w:pPr>
            <w:r>
              <w:rPr>
                <w:rFonts w:hint="eastAsia" w:ascii="宋体" w:hAnsi="宋体" w:cs="Arial"/>
                <w:spacing w:val="-6"/>
                <w:sz w:val="21"/>
                <w:szCs w:val="21"/>
              </w:rPr>
              <w:t>验证企业相关资质证明的有效性；</w:t>
            </w:r>
            <w:r>
              <w:rPr>
                <w:rFonts w:ascii="宋体" w:hAnsi="宋体" w:cs="Arial"/>
                <w:sz w:val="21"/>
                <w:szCs w:val="21"/>
              </w:rPr>
              <w:t xml:space="preserve"> </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widowControl/>
              <w:suppressLineNumbers w:val="0"/>
              <w:spacing w:line="360" w:lineRule="auto"/>
              <w:jc w:val="left"/>
              <w:rPr>
                <w:sz w:val="21"/>
                <w:szCs w:val="21"/>
              </w:rPr>
            </w:pPr>
            <w:r>
              <w:rPr>
                <w:rFonts w:ascii="等线" w:hAnsi="等线" w:eastAsia="等线" w:cs="等线"/>
                <w:b/>
                <w:bCs/>
                <w:color w:val="000000"/>
                <w:kern w:val="0"/>
                <w:sz w:val="21"/>
                <w:szCs w:val="21"/>
                <w:lang w:val="en-US" w:eastAsia="zh-CN" w:bidi="ar"/>
              </w:rPr>
              <w:t>理解组织及其环境</w:t>
            </w:r>
          </w:p>
          <w:p>
            <w:pPr>
              <w:spacing w:line="360" w:lineRule="auto"/>
              <w:rPr>
                <w:rFonts w:hint="default" w:eastAsia="宋体"/>
                <w:sz w:val="21"/>
                <w:szCs w:val="21"/>
                <w:lang w:val="en-US" w:eastAsia="zh-CN"/>
              </w:rPr>
            </w:pPr>
          </w:p>
        </w:tc>
        <w:tc>
          <w:tcPr>
            <w:tcW w:w="960" w:type="dxa"/>
          </w:tcPr>
          <w:p>
            <w:pPr>
              <w:spacing w:line="360" w:lineRule="auto"/>
              <w:rPr>
                <w:rFonts w:hint="default" w:eastAsia="宋体"/>
                <w:sz w:val="21"/>
                <w:szCs w:val="21"/>
                <w:lang w:val="en-US" w:eastAsia="zh-CN"/>
              </w:rPr>
            </w:pPr>
            <w:r>
              <w:rPr>
                <w:rFonts w:hint="eastAsia"/>
                <w:sz w:val="21"/>
                <w:szCs w:val="21"/>
                <w:lang w:val="en-US" w:eastAsia="zh-CN"/>
              </w:rPr>
              <w:t>QEO4.1</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法人：杨国胜；总经理：杨凡；管代/副总经理：李利平</w:t>
            </w:r>
            <w:r>
              <w:rPr>
                <w:rFonts w:hint="eastAsia" w:ascii="宋体" w:hAnsi="宋体" w:cs="宋体"/>
                <w:sz w:val="21"/>
                <w:szCs w:val="21"/>
                <w:lang w:val="en-US" w:eastAsia="zh-CN"/>
              </w:rPr>
              <w:t>；</w:t>
            </w:r>
          </w:p>
          <w:p>
            <w:pPr>
              <w:pStyle w:val="2"/>
              <w:spacing w:line="360" w:lineRule="auto"/>
              <w:ind w:firstLine="460" w:firstLineChars="200"/>
              <w:rPr>
                <w:rFonts w:hint="eastAsia" w:eastAsiaTheme="minorEastAsia"/>
                <w:sz w:val="21"/>
                <w:szCs w:val="21"/>
                <w:lang w:val="en-US" w:eastAsia="zh-CN"/>
              </w:rPr>
            </w:pPr>
            <w:r>
              <w:rPr>
                <w:rFonts w:hint="eastAsia"/>
                <w:sz w:val="21"/>
                <w:szCs w:val="21"/>
              </w:rPr>
              <w:t>注册地址</w:t>
            </w:r>
            <w:r>
              <w:rPr>
                <w:rFonts w:hint="eastAsia"/>
                <w:sz w:val="21"/>
                <w:szCs w:val="21"/>
                <w:lang w:eastAsia="zh-CN"/>
              </w:rPr>
              <w:t>：</w:t>
            </w:r>
            <w:r>
              <w:rPr>
                <w:rFonts w:asciiTheme="minorEastAsia" w:hAnsiTheme="minorEastAsia" w:eastAsiaTheme="minorEastAsia"/>
                <w:sz w:val="21"/>
                <w:szCs w:val="21"/>
              </w:rPr>
              <w:t>高阳县庞口镇陈庄村东</w:t>
            </w:r>
            <w:r>
              <w:rPr>
                <w:rFonts w:hint="eastAsia" w:asciiTheme="minorEastAsia" w:hAnsiTheme="minorEastAsia" w:eastAsiaTheme="minorEastAsia"/>
                <w:sz w:val="21"/>
                <w:szCs w:val="21"/>
                <w:lang w:eastAsia="zh-CN"/>
              </w:rPr>
              <w:t>；</w:t>
            </w:r>
            <w:r>
              <w:rPr>
                <w:rFonts w:hint="eastAsia"/>
                <w:sz w:val="21"/>
                <w:szCs w:val="21"/>
                <w:lang w:val="en-US" w:eastAsia="zh-CN"/>
              </w:rPr>
              <w:t>生产经营</w:t>
            </w:r>
            <w:r>
              <w:rPr>
                <w:rFonts w:hint="eastAsia"/>
                <w:sz w:val="21"/>
                <w:szCs w:val="21"/>
              </w:rPr>
              <w:t>地址</w:t>
            </w:r>
            <w:r>
              <w:rPr>
                <w:rFonts w:hint="eastAsia"/>
                <w:sz w:val="21"/>
                <w:szCs w:val="21"/>
                <w:lang w:eastAsia="zh-CN"/>
              </w:rPr>
              <w:t>：</w:t>
            </w:r>
            <w:r>
              <w:rPr>
                <w:rFonts w:asciiTheme="minorEastAsia" w:hAnsiTheme="minorEastAsia" w:eastAsiaTheme="minorEastAsia"/>
                <w:sz w:val="21"/>
                <w:szCs w:val="21"/>
              </w:rPr>
              <w:t>高阳县庞口镇陈庄村东</w:t>
            </w:r>
            <w:r>
              <w:rPr>
                <w:rFonts w:hint="eastAsia" w:asciiTheme="minorEastAsia" w:hAnsiTheme="minorEastAsia" w:eastAsia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阳县昌泰弹簧制造有限公司（以下简称公司）成立于2013年3月13日，是一家专注于弹簧钢丝加工生产和销售的企业。经过八年的发展，公司从一家只有十几名员工、几套设备的小微企业成长为现在高阳地区乃至河北省内最大的弹簧钢丝生产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目前积极拓展业务，已然成为一家集团化的公司，拥有以下分子公司：高阳县昌泰弹簧制造有限公司；保定中豪金属制品有限公司；保定市众鑫弹簧制造有限公司；湖北特尔轩工贸有限公司；湖北威凡弹簧制造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公司取得上述的成绩，完全得益于公司始终坚持的高质量发展理念：以质量和效益为中心，培育质量文化、注重质量创新、追求卓越质量。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了提升产品质量技术水平、推行节能减排及并改善经营结果，公司持续不断的投入资金进行生产技术改造创新，申请并通过了十项专利，并与2021年11月成为了高新技术企业。公司近3年无不良信用记录，未发生重大质量、安全生产及环境责任事故。</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公司始终坚持以“质量第一、客户至上、诚信高效、合作共赢”为服务理念，用诚信、实力和产品质量来迎接业界的检验。 </w:t>
            </w:r>
          </w:p>
          <w:p>
            <w:pPr>
              <w:pStyle w:val="16"/>
              <w:spacing w:line="360" w:lineRule="auto"/>
              <w:ind w:firstLine="420" w:firstLineChars="200"/>
              <w:rPr>
                <w:rFonts w:hint="eastAsia" w:ascii="Times New Roman" w:hAnsi="Times New Roman" w:eastAsia="宋体" w:cs="Times New Roman"/>
                <w:sz w:val="21"/>
                <w:szCs w:val="21"/>
              </w:rPr>
            </w:pPr>
            <w:r>
              <w:rPr>
                <w:rFonts w:hint="eastAsia" w:ascii="宋体" w:hAnsi="宋体" w:eastAsia="宋体" w:cs="宋体"/>
                <w:sz w:val="21"/>
                <w:szCs w:val="21"/>
                <w:lang w:val="en-US" w:eastAsia="zh-CN"/>
              </w:rPr>
              <w:t xml:space="preserve"> </w:t>
            </w:r>
            <w:r>
              <w:rPr>
                <w:rFonts w:hint="eastAsia" w:ascii="Times New Roman" w:hAnsi="Times New Roman"/>
                <w:sz w:val="21"/>
                <w:szCs w:val="21"/>
              </w:rPr>
              <w:t>公司现有员工</w:t>
            </w:r>
            <w:r>
              <w:rPr>
                <w:rFonts w:ascii="Times New Roman" w:hAnsi="Times New Roman"/>
                <w:sz w:val="21"/>
                <w:szCs w:val="21"/>
              </w:rPr>
              <w:t>40</w:t>
            </w:r>
            <w:r>
              <w:rPr>
                <w:rFonts w:hint="eastAsia" w:ascii="Times New Roman" w:hAnsi="Times New Roman"/>
                <w:sz w:val="21"/>
                <w:szCs w:val="21"/>
              </w:rPr>
              <w:t>人。由总经理领导下的</w:t>
            </w:r>
            <w:r>
              <w:rPr>
                <w:rFonts w:hint="eastAsia" w:ascii="Times New Roman" w:hAnsi="Times New Roman"/>
                <w:sz w:val="21"/>
                <w:szCs w:val="21"/>
                <w:lang w:val="en-US" w:eastAsia="zh-CN"/>
              </w:rPr>
              <w:t>综合管理</w:t>
            </w:r>
            <w:r>
              <w:rPr>
                <w:rFonts w:hint="eastAsia" w:ascii="Times New Roman" w:hAnsi="Times New Roman"/>
                <w:sz w:val="21"/>
                <w:szCs w:val="21"/>
              </w:rPr>
              <w:t>部、生产部（含车间、仓库</w:t>
            </w:r>
            <w:r>
              <w:rPr>
                <w:rFonts w:hint="eastAsia" w:ascii="Times New Roman" w:hAnsi="Times New Roman"/>
                <w:sz w:val="21"/>
                <w:szCs w:val="21"/>
                <w:lang w:eastAsia="zh-CN"/>
              </w:rPr>
              <w:t>、</w:t>
            </w:r>
            <w:r>
              <w:rPr>
                <w:rFonts w:hint="eastAsia" w:ascii="Times New Roman" w:hAnsi="Times New Roman"/>
                <w:sz w:val="21"/>
                <w:szCs w:val="21"/>
                <w:lang w:val="en-US" w:eastAsia="zh-CN"/>
              </w:rPr>
              <w:t>检验、采购、销售</w:t>
            </w:r>
            <w:r>
              <w:rPr>
                <w:rFonts w:hint="eastAsia" w:ascii="Times New Roman" w:hAnsi="Times New Roman"/>
                <w:sz w:val="21"/>
                <w:szCs w:val="21"/>
              </w:rPr>
              <w:t>）组成，其涵括了公司产品经营全过程以及体系支持过程，无过程职责管理遗漏；组织架构稳定，组织机构设置合理。车间配置有</w:t>
            </w:r>
            <w:r>
              <w:rPr>
                <w:rFonts w:hint="eastAsia" w:ascii="宋体" w:hAnsi="宋体" w:eastAsia="宋体" w:cs="宋体"/>
                <w:sz w:val="21"/>
                <w:szCs w:val="21"/>
                <w:lang w:val="en-US" w:eastAsia="zh-CN"/>
              </w:rPr>
              <w:t>冷拔丝生产设备十套，油淬火弹簧钢丝生产线3条</w:t>
            </w:r>
            <w:r>
              <w:rPr>
                <w:rFonts w:hint="eastAsia" w:ascii="Times New Roman" w:hAnsi="Times New Roman"/>
                <w:sz w:val="21"/>
                <w:szCs w:val="21"/>
              </w:rPr>
              <w:t>等生产设备；办公室配有办公活动所需的设备、设施及相关的管理文件等。经专业审核员确认，资源配备能满足公司目前的</w:t>
            </w:r>
            <w:r>
              <w:rPr>
                <w:sz w:val="21"/>
                <w:szCs w:val="21"/>
              </w:rPr>
              <w:t>弹簧钢丝的</w:t>
            </w:r>
            <w:r>
              <w:rPr>
                <w:rFonts w:hint="eastAsia" w:ascii="Times New Roman" w:hAnsi="Times New Roman"/>
                <w:sz w:val="21"/>
                <w:szCs w:val="21"/>
              </w:rPr>
              <w:t>生产</w:t>
            </w:r>
            <w:r>
              <w:rPr>
                <w:rFonts w:hint="eastAsia" w:ascii="Times New Roman" w:hAnsi="Times New Roman"/>
                <w:sz w:val="21"/>
                <w:szCs w:val="21"/>
                <w:lang w:val="en-US" w:eastAsia="zh-CN"/>
              </w:rPr>
              <w:t>经营</w:t>
            </w:r>
            <w:r>
              <w:rPr>
                <w:rFonts w:hint="eastAsia" w:ascii="Times New Roman" w:hAnsi="Times New Roman"/>
                <w:sz w:val="21"/>
                <w:szCs w:val="21"/>
              </w:rPr>
              <w:t>业务活动的需要。</w:t>
            </w:r>
          </w:p>
          <w:p>
            <w:pPr>
              <w:pStyle w:val="2"/>
              <w:spacing w:line="360" w:lineRule="auto"/>
              <w:rPr>
                <w:rFonts w:hint="eastAsia"/>
                <w:sz w:val="21"/>
                <w:szCs w:val="21"/>
                <w:lang w:val="en-US" w:eastAsia="zh-CN"/>
              </w:rPr>
            </w:pPr>
          </w:p>
          <w:p>
            <w:pPr>
              <w:spacing w:line="360" w:lineRule="auto"/>
              <w:rPr>
                <w:sz w:val="21"/>
                <w:szCs w:val="21"/>
              </w:rPr>
            </w:pPr>
            <w:r>
              <w:rPr>
                <w:rFonts w:hint="eastAsia" w:ascii="宋体" w:hAnsi="宋体" w:eastAsia="宋体" w:cs="宋体"/>
                <w:sz w:val="21"/>
                <w:szCs w:val="21"/>
                <w:lang w:val="en-US" w:eastAsia="zh-CN"/>
              </w:rPr>
              <w:t xml:space="preserve">       </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keepNext w:val="0"/>
              <w:keepLines w:val="0"/>
              <w:widowControl/>
              <w:suppressLineNumbers w:val="0"/>
              <w:spacing w:line="360" w:lineRule="auto"/>
              <w:jc w:val="left"/>
              <w:rPr>
                <w:sz w:val="21"/>
                <w:szCs w:val="21"/>
              </w:rPr>
            </w:pPr>
            <w:r>
              <w:rPr>
                <w:rFonts w:ascii="等线" w:hAnsi="等线" w:eastAsia="等线" w:cs="等线"/>
                <w:b/>
                <w:bCs/>
                <w:color w:val="000000"/>
                <w:kern w:val="0"/>
                <w:sz w:val="21"/>
                <w:szCs w:val="21"/>
                <w:lang w:val="en-US" w:eastAsia="zh-CN" w:bidi="ar"/>
              </w:rPr>
              <w:t>理解相关方的需求和期望</w:t>
            </w:r>
          </w:p>
          <w:p>
            <w:pPr>
              <w:spacing w:line="360" w:lineRule="auto"/>
              <w:rPr>
                <w:sz w:val="21"/>
                <w:szCs w:val="21"/>
              </w:rPr>
            </w:pPr>
          </w:p>
        </w:tc>
        <w:tc>
          <w:tcPr>
            <w:tcW w:w="960" w:type="dxa"/>
          </w:tcPr>
          <w:p>
            <w:pPr>
              <w:spacing w:line="360" w:lineRule="auto"/>
              <w:rPr>
                <w:rFonts w:hint="default"/>
                <w:sz w:val="21"/>
                <w:szCs w:val="21"/>
                <w:lang w:val="en-US"/>
              </w:rPr>
            </w:pPr>
            <w:r>
              <w:rPr>
                <w:rFonts w:hint="eastAsia"/>
                <w:sz w:val="21"/>
                <w:szCs w:val="21"/>
                <w:lang w:val="en-US" w:eastAsia="zh-CN"/>
              </w:rPr>
              <w:t>QEO4.2</w:t>
            </w:r>
          </w:p>
        </w:tc>
        <w:tc>
          <w:tcPr>
            <w:tcW w:w="10004" w:type="dxa"/>
          </w:tcPr>
          <w:p>
            <w:pPr>
              <w:keepNext w:val="0"/>
              <w:keepLines w:val="0"/>
              <w:pageBreakBefore w:val="0"/>
              <w:kinsoku/>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公司的相关方对公司持续提供符合顾客要求和适用法律法规要求的产品和服务的能力、实现质量</w:t>
            </w:r>
            <w:r>
              <w:rPr>
                <w:rFonts w:hint="eastAsia" w:ascii="宋体" w:hAnsi="宋体" w:eastAsia="宋体" w:cs="宋体"/>
                <w:color w:val="auto"/>
                <w:sz w:val="21"/>
                <w:szCs w:val="21"/>
                <w:lang w:val="en-US" w:eastAsia="zh-CN"/>
              </w:rPr>
              <w:t>/环境/职业健康安全</w:t>
            </w:r>
            <w:r>
              <w:rPr>
                <w:rFonts w:hint="eastAsia" w:ascii="宋体" w:hAnsi="宋体" w:eastAsia="宋体" w:cs="宋体"/>
                <w:color w:val="auto"/>
                <w:sz w:val="21"/>
                <w:szCs w:val="21"/>
              </w:rPr>
              <w:t>绩效产生影响和潜在影响</w:t>
            </w:r>
            <w:r>
              <w:rPr>
                <w:rFonts w:hint="eastAsia" w:ascii="宋体" w:hAnsi="宋体" w:eastAsia="宋体" w:cs="宋体"/>
                <w:color w:val="auto"/>
                <w:sz w:val="21"/>
                <w:szCs w:val="21"/>
                <w:lang w:eastAsia="zh-CN"/>
              </w:rPr>
              <w:t>。</w:t>
            </w:r>
          </w:p>
          <w:p>
            <w:pPr>
              <w:keepNext w:val="0"/>
              <w:keepLines w:val="0"/>
              <w:pageBreakBefore w:val="0"/>
              <w:kinsoku/>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综合管理部</w:t>
            </w:r>
            <w:r>
              <w:rPr>
                <w:rFonts w:hint="eastAsia" w:ascii="宋体" w:hAnsi="宋体" w:eastAsia="宋体" w:cs="宋体"/>
                <w:color w:val="auto"/>
                <w:sz w:val="21"/>
                <w:szCs w:val="21"/>
              </w:rPr>
              <w:t>负责组织相关部门确定与公司的质量</w:t>
            </w:r>
            <w:r>
              <w:rPr>
                <w:rFonts w:hint="eastAsia" w:ascii="宋体" w:hAnsi="宋体" w:eastAsia="宋体" w:cs="宋体"/>
                <w:color w:val="auto"/>
                <w:sz w:val="21"/>
                <w:szCs w:val="21"/>
                <w:lang w:val="en-US" w:eastAsia="zh-CN"/>
              </w:rPr>
              <w:t>/环境/职业健康安全</w:t>
            </w:r>
            <w:r>
              <w:rPr>
                <w:rFonts w:hint="eastAsia" w:ascii="宋体" w:hAnsi="宋体" w:eastAsia="宋体" w:cs="宋体"/>
                <w:color w:val="auto"/>
                <w:sz w:val="21"/>
                <w:szCs w:val="21"/>
              </w:rPr>
              <w:t>管理体系有关的相关方</w:t>
            </w:r>
            <w:r>
              <w:rPr>
                <w:rFonts w:hint="eastAsia" w:ascii="宋体" w:hAnsi="宋体" w:eastAsia="宋体" w:cs="宋体"/>
                <w:color w:val="auto"/>
                <w:sz w:val="21"/>
                <w:szCs w:val="21"/>
                <w:lang w:eastAsia="zh-CN"/>
              </w:rPr>
              <w:t>。</w:t>
            </w:r>
          </w:p>
          <w:p>
            <w:pPr>
              <w:keepNext w:val="0"/>
              <w:keepLines w:val="0"/>
              <w:pageBreakBefore w:val="0"/>
              <w:kinsoku/>
              <w:overflowPunct/>
              <w:topLinePunct w:val="0"/>
              <w:bidi w:val="0"/>
              <w:snapToGrid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确定公司的相关方包括：</w:t>
            </w:r>
          </w:p>
          <w:p>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 直接顾客；</w:t>
            </w:r>
          </w:p>
          <w:p>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 最终使用者；</w:t>
            </w:r>
          </w:p>
          <w:p>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 供应链中的供方、分销商、零售商及其他；</w:t>
            </w:r>
          </w:p>
          <w:p>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 立法机构及其监管机构；</w:t>
            </w:r>
          </w:p>
          <w:p>
            <w:pPr>
              <w:keepNext w:val="0"/>
              <w:keepLines w:val="0"/>
              <w:pageBreakBefore w:val="0"/>
              <w:kinsoku/>
              <w:overflowPunct/>
              <w:topLinePunct w:val="0"/>
              <w:bidi w:val="0"/>
              <w:snapToGrid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 其他（包括业主/股东、银行、员工及其他为公司工作的人员、地方社区、团体、非政府机构等）。</w:t>
            </w:r>
          </w:p>
          <w:p>
            <w:pPr>
              <w:keepNext w:val="0"/>
              <w:keepLines w:val="0"/>
              <w:pageBreakBefore w:val="0"/>
              <w:kinsoku/>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公司</w:t>
            </w:r>
            <w:r>
              <w:rPr>
                <w:rFonts w:hint="eastAsia" w:ascii="宋体" w:hAnsi="宋体" w:eastAsia="宋体" w:cs="宋体"/>
                <w:color w:val="auto"/>
                <w:sz w:val="21"/>
                <w:szCs w:val="21"/>
                <w:lang w:eastAsia="zh-CN"/>
              </w:rPr>
              <w:t>综合管理部</w:t>
            </w:r>
            <w:r>
              <w:rPr>
                <w:rFonts w:hint="eastAsia" w:ascii="宋体" w:hAnsi="宋体" w:eastAsia="宋体" w:cs="宋体"/>
                <w:color w:val="auto"/>
                <w:sz w:val="21"/>
                <w:szCs w:val="21"/>
              </w:rPr>
              <w:t>负责组织相关部门确定上述相关方的需求和期望</w:t>
            </w:r>
            <w:r>
              <w:rPr>
                <w:rFonts w:hint="eastAsia" w:ascii="宋体" w:hAnsi="宋体" w:eastAsia="宋体" w:cs="宋体"/>
                <w:color w:val="auto"/>
                <w:sz w:val="21"/>
                <w:szCs w:val="21"/>
                <w:lang w:eastAsia="zh-CN"/>
              </w:rPr>
              <w:t>。</w:t>
            </w:r>
          </w:p>
          <w:p>
            <w:pPr>
              <w:keepNext w:val="0"/>
              <w:keepLines w:val="0"/>
              <w:pageBreakBefore w:val="0"/>
              <w:kinsoku/>
              <w:overflowPunct/>
              <w:topLinePunct w:val="0"/>
              <w:bidi w:val="0"/>
              <w:snapToGrid w:val="0"/>
              <w:spacing w:line="360" w:lineRule="auto"/>
              <w:ind w:firstLine="420" w:firstLineChars="200"/>
              <w:textAlignment w:val="auto"/>
              <w:rPr>
                <w:sz w:val="21"/>
                <w:szCs w:val="21"/>
              </w:rPr>
            </w:pPr>
            <w:r>
              <w:rPr>
                <w:rFonts w:hint="eastAsia" w:ascii="宋体" w:hAnsi="宋体" w:eastAsia="宋体" w:cs="宋体"/>
                <w:color w:val="auto"/>
                <w:sz w:val="21"/>
                <w:szCs w:val="21"/>
              </w:rPr>
              <w:t>公司</w:t>
            </w:r>
            <w:r>
              <w:rPr>
                <w:rFonts w:hint="eastAsia" w:ascii="宋体" w:hAnsi="宋体" w:eastAsia="宋体" w:cs="宋体"/>
                <w:color w:val="auto"/>
                <w:sz w:val="21"/>
                <w:szCs w:val="21"/>
                <w:lang w:eastAsia="zh-CN"/>
              </w:rPr>
              <w:t>综合管理部</w:t>
            </w:r>
            <w:r>
              <w:rPr>
                <w:rFonts w:hint="eastAsia" w:ascii="宋体" w:hAnsi="宋体" w:eastAsia="宋体" w:cs="宋体"/>
                <w:color w:val="auto"/>
                <w:sz w:val="21"/>
                <w:szCs w:val="21"/>
              </w:rPr>
              <w:t>应组织相关部门对有关相关方及其需求和期望进行监视和评审，如有新的变更，应及时更新。这些需求和期望中的成为或将成为其法律法规要求和其他要求。</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spacing w:line="360" w:lineRule="auto"/>
              <w:jc w:val="left"/>
              <w:rPr>
                <w:sz w:val="21"/>
                <w:szCs w:val="21"/>
              </w:rPr>
            </w:pPr>
            <w:r>
              <w:rPr>
                <w:rFonts w:ascii="等线" w:hAnsi="等线" w:eastAsia="等线" w:cs="等线"/>
                <w:b/>
                <w:bCs/>
                <w:color w:val="000000"/>
                <w:kern w:val="0"/>
                <w:sz w:val="21"/>
                <w:szCs w:val="21"/>
                <w:lang w:val="en-US" w:eastAsia="zh-CN" w:bidi="ar"/>
              </w:rPr>
              <w:t>确定</w:t>
            </w:r>
            <w:r>
              <w:rPr>
                <w:rFonts w:hint="eastAsia" w:ascii="等线" w:hAnsi="等线" w:eastAsia="等线" w:cs="等线"/>
                <w:b/>
                <w:bCs/>
                <w:color w:val="000000"/>
                <w:kern w:val="0"/>
                <w:sz w:val="21"/>
                <w:szCs w:val="21"/>
                <w:lang w:val="en-US" w:eastAsia="zh-CN" w:bidi="ar"/>
              </w:rPr>
              <w:t>QEO</w:t>
            </w:r>
            <w:r>
              <w:rPr>
                <w:rFonts w:ascii="等线" w:hAnsi="等线" w:eastAsia="等线" w:cs="等线"/>
                <w:b/>
                <w:bCs/>
                <w:color w:val="000000"/>
                <w:kern w:val="0"/>
                <w:sz w:val="21"/>
                <w:szCs w:val="21"/>
                <w:lang w:val="en-US" w:eastAsia="zh-CN" w:bidi="ar"/>
              </w:rPr>
              <w:t>管理体系的范围</w:t>
            </w:r>
          </w:p>
          <w:p>
            <w:pPr>
              <w:spacing w:line="360" w:lineRule="auto"/>
              <w:rPr>
                <w:sz w:val="21"/>
                <w:szCs w:val="21"/>
              </w:rPr>
            </w:pPr>
          </w:p>
        </w:tc>
        <w:tc>
          <w:tcPr>
            <w:tcW w:w="960" w:type="dxa"/>
          </w:tcPr>
          <w:p>
            <w:pPr>
              <w:spacing w:line="360" w:lineRule="auto"/>
              <w:rPr>
                <w:rFonts w:hint="default"/>
                <w:sz w:val="21"/>
                <w:szCs w:val="21"/>
                <w:lang w:val="en-US"/>
              </w:rPr>
            </w:pPr>
            <w:r>
              <w:rPr>
                <w:rFonts w:hint="eastAsia"/>
                <w:sz w:val="21"/>
                <w:szCs w:val="21"/>
                <w:lang w:val="en-US" w:eastAsia="zh-CN"/>
              </w:rPr>
              <w:t>QEO4.3</w:t>
            </w:r>
          </w:p>
        </w:tc>
        <w:tc>
          <w:tcPr>
            <w:tcW w:w="10004" w:type="dxa"/>
          </w:tcPr>
          <w:p>
            <w:pPr>
              <w:keepNext w:val="0"/>
              <w:keepLines w:val="0"/>
              <w:pageBreakBefore w:val="0"/>
              <w:kinsoku/>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sz w:val="21"/>
                <w:szCs w:val="21"/>
              </w:rPr>
              <w:t>查：质量、环境和职业健康安全管理手册中</w:t>
            </w:r>
            <w:r>
              <w:rPr>
                <w:rFonts w:hint="eastAsia" w:ascii="黑体" w:hAnsi="黑体" w:eastAsia="黑体" w:cs="黑体"/>
                <w:color w:val="000000"/>
                <w:sz w:val="21"/>
                <w:szCs w:val="21"/>
                <w:lang w:val="en-US" w:eastAsia="zh-CN"/>
              </w:rPr>
              <w:t>A/0</w:t>
            </w:r>
            <w:r>
              <w:rPr>
                <w:rFonts w:hint="eastAsia" w:ascii="黑体" w:hAnsi="黑体" w:eastAsia="黑体" w:cs="黑体"/>
                <w:color w:val="000000"/>
                <w:sz w:val="21"/>
                <w:szCs w:val="21"/>
              </w:rPr>
              <w:t>本手册</w:t>
            </w:r>
            <w:r>
              <w:rPr>
                <w:rFonts w:hint="eastAsia" w:ascii="宋体" w:hAnsi="宋体" w:eastAsia="宋体" w:cs="宋体"/>
                <w:color w:val="auto"/>
                <w:sz w:val="21"/>
                <w:szCs w:val="21"/>
              </w:rPr>
              <w:t>4.3.2 公司确定的质量、环境和职业健康安全管理体系的范围：</w:t>
            </w:r>
            <w:r>
              <w:rPr>
                <w:rFonts w:hint="eastAsia" w:ascii="宋体" w:hAnsi="宋体" w:eastAsia="宋体" w:cs="宋体"/>
                <w:b/>
                <w:color w:val="auto"/>
                <w:sz w:val="21"/>
                <w:szCs w:val="21"/>
              </w:rPr>
              <w:t>QES：</w:t>
            </w:r>
            <w:r>
              <w:rPr>
                <w:rFonts w:hint="eastAsia" w:ascii="宋体" w:hAnsi="宋体" w:eastAsia="宋体" w:cs="宋体"/>
                <w:b/>
                <w:color w:val="auto"/>
                <w:sz w:val="21"/>
                <w:szCs w:val="21"/>
                <w:lang w:eastAsia="zh-CN"/>
              </w:rPr>
              <w:t>弹簧钢丝的生产及其相关管理活动</w:t>
            </w:r>
            <w:r>
              <w:rPr>
                <w:rFonts w:hint="eastAsia" w:ascii="宋体" w:hAnsi="宋体" w:eastAsia="宋体" w:cs="宋体"/>
                <w:color w:val="auto"/>
                <w:sz w:val="21"/>
                <w:szCs w:val="21"/>
                <w:lang w:eastAsia="zh-CN"/>
              </w:rPr>
              <w:t>。</w:t>
            </w:r>
          </w:p>
          <w:p>
            <w:pPr>
              <w:spacing w:line="360" w:lineRule="auto"/>
              <w:ind w:firstLine="420" w:firstLineChars="200"/>
              <w:rPr>
                <w:sz w:val="21"/>
                <w:szCs w:val="21"/>
              </w:rPr>
            </w:pPr>
            <w:r>
              <w:rPr>
                <w:rFonts w:hint="eastAsia" w:ascii="宋体" w:hAnsi="宋体" w:cs="宋体"/>
                <w:color w:val="auto"/>
                <w:sz w:val="21"/>
                <w:szCs w:val="21"/>
                <w:lang w:val="en-US" w:eastAsia="zh-CN"/>
              </w:rPr>
              <w:t>即：</w:t>
            </w:r>
            <w:bookmarkStart w:id="2" w:name="审核范围"/>
            <w:r>
              <w:rPr>
                <w:sz w:val="21"/>
                <w:szCs w:val="21"/>
              </w:rPr>
              <w:t>Q：弹簧钢丝的生产</w:t>
            </w:r>
          </w:p>
          <w:p>
            <w:pPr>
              <w:spacing w:line="360" w:lineRule="auto"/>
              <w:ind w:firstLine="840" w:firstLineChars="400"/>
              <w:rPr>
                <w:sz w:val="21"/>
                <w:szCs w:val="21"/>
              </w:rPr>
            </w:pPr>
            <w:r>
              <w:rPr>
                <w:sz w:val="21"/>
                <w:szCs w:val="21"/>
              </w:rPr>
              <w:t>E：弹簧钢丝的生产所涉及场所的相关环境管理活动</w:t>
            </w:r>
          </w:p>
          <w:p>
            <w:pPr>
              <w:pStyle w:val="9"/>
              <w:spacing w:line="360" w:lineRule="auto"/>
              <w:ind w:firstLine="840" w:firstLineChars="400"/>
              <w:rPr>
                <w:rFonts w:hint="default"/>
                <w:sz w:val="21"/>
                <w:szCs w:val="21"/>
                <w:lang w:val="en-US" w:eastAsia="zh-CN"/>
              </w:rPr>
            </w:pPr>
            <w:r>
              <w:rPr>
                <w:sz w:val="21"/>
                <w:szCs w:val="21"/>
              </w:rPr>
              <w:t>O：弹簧钢丝的生产所涉及场所的相关职业健康安全管理活动</w:t>
            </w:r>
            <w:bookmarkEnd w:id="2"/>
          </w:p>
          <w:p>
            <w:pPr>
              <w:widowControl/>
              <w:spacing w:before="100" w:after="100" w:line="360" w:lineRule="auto"/>
              <w:ind w:firstLine="420" w:firstLineChars="200"/>
              <w:jc w:val="left"/>
              <w:rPr>
                <w:rFonts w:hint="eastAsia" w:ascii="宋体" w:hAnsi="宋体"/>
                <w:sz w:val="21"/>
                <w:szCs w:val="21"/>
                <w:lang w:val="en-US" w:eastAsia="zh-CN"/>
              </w:rPr>
            </w:pPr>
            <w:r>
              <w:rPr>
                <w:rFonts w:hint="eastAsia" w:ascii="宋体" w:hAnsi="宋体"/>
                <w:sz w:val="21"/>
                <w:szCs w:val="21"/>
              </w:rPr>
              <w:t>经识别的外包过程：</w:t>
            </w:r>
            <w:r>
              <w:rPr>
                <w:rFonts w:hint="eastAsia" w:ascii="宋体" w:hAnsi="宋体"/>
                <w:sz w:val="21"/>
                <w:szCs w:val="21"/>
                <w:lang w:val="en-US" w:eastAsia="zh-CN"/>
              </w:rPr>
              <w:t>无。</w:t>
            </w:r>
          </w:p>
          <w:p>
            <w:pPr>
              <w:pStyle w:val="2"/>
              <w:spacing w:line="360" w:lineRule="auto"/>
              <w:ind w:firstLine="460" w:firstLineChars="200"/>
              <w:rPr>
                <w:rFonts w:hint="eastAsia" w:ascii="宋体" w:hAnsi="宋体" w:eastAsia="宋体" w:cs="Times New Roman"/>
                <w:b/>
                <w:bCs/>
                <w:kern w:val="2"/>
                <w:sz w:val="21"/>
                <w:szCs w:val="21"/>
                <w:lang w:val="en-US" w:eastAsia="zh-CN" w:bidi="ar-SA"/>
              </w:rPr>
            </w:pPr>
            <w:r>
              <w:rPr>
                <w:rFonts w:hint="eastAsia" w:ascii="宋体" w:hAnsi="宋体"/>
                <w:sz w:val="21"/>
                <w:szCs w:val="21"/>
              </w:rPr>
              <w:t>查组织机构图：覆盖的部门为总经理领导下的</w:t>
            </w:r>
            <w:r>
              <w:rPr>
                <w:rFonts w:hint="eastAsia" w:ascii="宋体" w:hAnsi="宋体"/>
                <w:b/>
                <w:bCs/>
                <w:sz w:val="21"/>
                <w:szCs w:val="21"/>
                <w:lang w:val="en-US" w:eastAsia="zh-CN"/>
              </w:rPr>
              <w:t>综合管理部、</w:t>
            </w:r>
            <w:r>
              <w:rPr>
                <w:rFonts w:hint="eastAsia" w:ascii="宋体" w:hAnsi="宋体" w:eastAsia="宋体" w:cs="Times New Roman"/>
                <w:b/>
                <w:bCs/>
                <w:kern w:val="2"/>
                <w:sz w:val="21"/>
                <w:szCs w:val="21"/>
                <w:lang w:val="en-US" w:eastAsia="zh-CN" w:bidi="ar-SA"/>
              </w:rPr>
              <w:t>生产部</w:t>
            </w:r>
            <w:r>
              <w:rPr>
                <w:rFonts w:hint="eastAsia" w:ascii="Times New Roman" w:hAnsi="Times New Roman"/>
                <w:sz w:val="21"/>
                <w:szCs w:val="21"/>
              </w:rPr>
              <w:t>（含车间、仓库</w:t>
            </w:r>
            <w:r>
              <w:rPr>
                <w:rFonts w:hint="eastAsia" w:ascii="Times New Roman" w:hAnsi="Times New Roman"/>
                <w:sz w:val="21"/>
                <w:szCs w:val="21"/>
                <w:lang w:eastAsia="zh-CN"/>
              </w:rPr>
              <w:t>、</w:t>
            </w:r>
            <w:r>
              <w:rPr>
                <w:rFonts w:hint="eastAsia" w:ascii="Times New Roman" w:hAnsi="Times New Roman"/>
                <w:sz w:val="21"/>
                <w:szCs w:val="21"/>
                <w:lang w:val="en-US" w:eastAsia="zh-CN"/>
              </w:rPr>
              <w:t>检验、采购、销售</w:t>
            </w:r>
            <w:r>
              <w:rPr>
                <w:rFonts w:hint="eastAsia" w:ascii="Times New Roman" w:hAnsi="Times New Roman"/>
                <w:sz w:val="21"/>
                <w:szCs w:val="21"/>
              </w:rPr>
              <w:t>）</w:t>
            </w:r>
            <w:r>
              <w:rPr>
                <w:rFonts w:hint="eastAsia" w:ascii="宋体" w:hAnsi="宋体" w:eastAsia="宋体" w:cs="Times New Roman"/>
                <w:b/>
                <w:bCs/>
                <w:kern w:val="2"/>
                <w:sz w:val="21"/>
                <w:szCs w:val="21"/>
                <w:lang w:val="en-US" w:eastAsia="zh-CN" w:bidi="ar-SA"/>
              </w:rPr>
              <w:t>。</w:t>
            </w:r>
          </w:p>
          <w:p>
            <w:pPr>
              <w:pStyle w:val="2"/>
              <w:spacing w:line="360" w:lineRule="auto"/>
              <w:ind w:firstLine="460" w:firstLineChars="200"/>
              <w:rPr>
                <w:rFonts w:hint="eastAsia"/>
                <w:sz w:val="21"/>
                <w:szCs w:val="21"/>
                <w:lang w:eastAsia="zh-CN"/>
              </w:rPr>
            </w:pPr>
            <w:r>
              <w:rPr>
                <w:rFonts w:hint="eastAsia"/>
                <w:sz w:val="21"/>
                <w:szCs w:val="21"/>
              </w:rPr>
              <w:t>注册地址</w:t>
            </w:r>
            <w:r>
              <w:rPr>
                <w:rFonts w:hint="eastAsia"/>
                <w:sz w:val="21"/>
                <w:szCs w:val="21"/>
                <w:lang w:eastAsia="zh-CN"/>
              </w:rPr>
              <w:t>：</w:t>
            </w:r>
            <w:bookmarkStart w:id="3" w:name="注册地址"/>
            <w:r>
              <w:rPr>
                <w:rFonts w:asciiTheme="minorEastAsia" w:hAnsiTheme="minorEastAsia" w:eastAsiaTheme="minorEastAsia"/>
                <w:sz w:val="21"/>
                <w:szCs w:val="21"/>
              </w:rPr>
              <w:t>高阳县庞口镇陈庄村东</w:t>
            </w:r>
            <w:bookmarkEnd w:id="3"/>
          </w:p>
          <w:p>
            <w:pPr>
              <w:pStyle w:val="2"/>
              <w:spacing w:line="360" w:lineRule="auto"/>
              <w:ind w:firstLine="460" w:firstLineChars="200"/>
              <w:rPr>
                <w:rFonts w:hint="eastAsia" w:eastAsia="宋体"/>
                <w:sz w:val="21"/>
                <w:szCs w:val="21"/>
                <w:lang w:val="en-US" w:eastAsia="zh-CN"/>
              </w:rPr>
            </w:pPr>
            <w:r>
              <w:rPr>
                <w:rFonts w:hint="eastAsia"/>
                <w:sz w:val="21"/>
                <w:szCs w:val="21"/>
              </w:rPr>
              <w:t>经营地址</w:t>
            </w:r>
            <w:r>
              <w:rPr>
                <w:rFonts w:hint="eastAsia"/>
                <w:sz w:val="21"/>
                <w:szCs w:val="21"/>
                <w:lang w:eastAsia="zh-CN"/>
              </w:rPr>
              <w:t>：</w:t>
            </w:r>
            <w:r>
              <w:rPr>
                <w:rFonts w:asciiTheme="minorEastAsia" w:hAnsiTheme="minorEastAsia" w:eastAsiaTheme="minorEastAsia"/>
                <w:sz w:val="21"/>
                <w:szCs w:val="21"/>
              </w:rPr>
              <w:t>高阳县庞口镇陈庄村东</w:t>
            </w:r>
          </w:p>
          <w:p>
            <w:pPr>
              <w:pStyle w:val="2"/>
              <w:spacing w:line="360" w:lineRule="auto"/>
              <w:rPr>
                <w:rFonts w:hint="eastAsia"/>
                <w:sz w:val="21"/>
                <w:szCs w:val="21"/>
                <w:lang w:val="en-US" w:eastAsia="zh-CN"/>
              </w:rPr>
            </w:pPr>
          </w:p>
          <w:p>
            <w:pPr>
              <w:pStyle w:val="2"/>
              <w:spacing w:line="360" w:lineRule="auto"/>
              <w:rPr>
                <w:sz w:val="21"/>
                <w:szCs w:val="21"/>
              </w:rPr>
            </w:pPr>
            <w:r>
              <w:rPr>
                <w:rFonts w:hint="eastAsia"/>
                <w:sz w:val="21"/>
                <w:szCs w:val="21"/>
                <w:lang w:eastAsia="zh-CN"/>
              </w:rPr>
              <w:t>——</w:t>
            </w:r>
            <w:r>
              <w:rPr>
                <w:rFonts w:hint="eastAsia"/>
                <w:sz w:val="21"/>
                <w:szCs w:val="21"/>
                <w:lang w:val="en-US" w:eastAsia="zh-CN"/>
              </w:rPr>
              <w:t>以上内容已与管代进行再次确认。</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spacing w:line="360" w:lineRule="auto"/>
              <w:jc w:val="left"/>
              <w:rPr>
                <w:sz w:val="21"/>
                <w:szCs w:val="21"/>
              </w:rPr>
            </w:pPr>
            <w:r>
              <w:rPr>
                <w:rFonts w:hint="eastAsia" w:ascii="等线" w:hAnsi="等线" w:eastAsia="等线" w:cs="等线"/>
                <w:b/>
                <w:bCs/>
                <w:color w:val="000000"/>
                <w:kern w:val="0"/>
                <w:sz w:val="21"/>
                <w:szCs w:val="21"/>
                <w:lang w:val="en-US" w:eastAsia="zh-CN" w:bidi="ar"/>
              </w:rPr>
              <w:t>QEO</w:t>
            </w:r>
            <w:r>
              <w:rPr>
                <w:rFonts w:ascii="等线" w:hAnsi="等线" w:eastAsia="等线" w:cs="等线"/>
                <w:b/>
                <w:bCs/>
                <w:color w:val="000000"/>
                <w:kern w:val="0"/>
                <w:sz w:val="21"/>
                <w:szCs w:val="21"/>
                <w:lang w:val="en-US" w:eastAsia="zh-CN" w:bidi="ar"/>
              </w:rPr>
              <w:t>管理体系及其过程</w:t>
            </w:r>
          </w:p>
          <w:p>
            <w:pPr>
              <w:spacing w:line="360" w:lineRule="auto"/>
              <w:rPr>
                <w:sz w:val="21"/>
                <w:szCs w:val="21"/>
              </w:rPr>
            </w:pPr>
          </w:p>
        </w:tc>
        <w:tc>
          <w:tcPr>
            <w:tcW w:w="960" w:type="dxa"/>
          </w:tcPr>
          <w:p>
            <w:pPr>
              <w:spacing w:line="360" w:lineRule="auto"/>
              <w:rPr>
                <w:rFonts w:hint="default"/>
                <w:sz w:val="21"/>
                <w:szCs w:val="21"/>
                <w:lang w:val="en-US"/>
              </w:rPr>
            </w:pPr>
            <w:r>
              <w:rPr>
                <w:rFonts w:hint="eastAsia"/>
                <w:sz w:val="21"/>
                <w:szCs w:val="21"/>
                <w:lang w:val="en-US" w:eastAsia="zh-CN"/>
              </w:rPr>
              <w:t>QEO4.4</w:t>
            </w:r>
          </w:p>
        </w:tc>
        <w:tc>
          <w:tcPr>
            <w:tcW w:w="10004" w:type="dxa"/>
          </w:tcPr>
          <w:p>
            <w:pPr>
              <w:pStyle w:val="16"/>
              <w:spacing w:line="360" w:lineRule="auto"/>
              <w:ind w:firstLine="420" w:firstLineChars="200"/>
              <w:rPr>
                <w:rFonts w:hint="eastAsia"/>
                <w:sz w:val="21"/>
                <w:szCs w:val="21"/>
              </w:rPr>
            </w:pPr>
            <w:r>
              <w:rPr>
                <w:rFonts w:hint="eastAsia" w:ascii="Times New Roman" w:hAnsi="Times New Roman"/>
                <w:sz w:val="21"/>
                <w:szCs w:val="21"/>
              </w:rPr>
              <w:t>公司现有员工</w:t>
            </w:r>
            <w:r>
              <w:rPr>
                <w:rFonts w:ascii="Times New Roman" w:hAnsi="Times New Roman"/>
                <w:sz w:val="21"/>
                <w:szCs w:val="21"/>
              </w:rPr>
              <w:t>40</w:t>
            </w:r>
            <w:r>
              <w:rPr>
                <w:rFonts w:hint="eastAsia" w:ascii="Times New Roman" w:hAnsi="Times New Roman"/>
                <w:sz w:val="21"/>
                <w:szCs w:val="21"/>
              </w:rPr>
              <w:t>人。由总经理领导下的</w:t>
            </w:r>
            <w:r>
              <w:rPr>
                <w:rFonts w:hint="eastAsia" w:ascii="Times New Roman" w:hAnsi="Times New Roman"/>
                <w:sz w:val="21"/>
                <w:szCs w:val="21"/>
                <w:lang w:val="en-US" w:eastAsia="zh-CN"/>
              </w:rPr>
              <w:t>综合管理</w:t>
            </w:r>
            <w:r>
              <w:rPr>
                <w:rFonts w:hint="eastAsia" w:ascii="Times New Roman" w:hAnsi="Times New Roman"/>
                <w:sz w:val="21"/>
                <w:szCs w:val="21"/>
              </w:rPr>
              <w:t>部、生产部（含车间、仓库</w:t>
            </w:r>
            <w:r>
              <w:rPr>
                <w:rFonts w:hint="eastAsia" w:ascii="Times New Roman" w:hAnsi="Times New Roman"/>
                <w:sz w:val="21"/>
                <w:szCs w:val="21"/>
                <w:lang w:eastAsia="zh-CN"/>
              </w:rPr>
              <w:t>、</w:t>
            </w:r>
            <w:r>
              <w:rPr>
                <w:rFonts w:hint="eastAsia" w:ascii="Times New Roman" w:hAnsi="Times New Roman"/>
                <w:sz w:val="21"/>
                <w:szCs w:val="21"/>
                <w:lang w:val="en-US" w:eastAsia="zh-CN"/>
              </w:rPr>
              <w:t>检验、采购、销售</w:t>
            </w:r>
            <w:r>
              <w:rPr>
                <w:rFonts w:hint="eastAsia" w:ascii="Times New Roman" w:hAnsi="Times New Roman"/>
                <w:sz w:val="21"/>
                <w:szCs w:val="21"/>
              </w:rPr>
              <w:t>）组成，其涵括了公司产品经营全过程以及体系支持过程，无过程职责管理遗漏；组织架构稳定，组织机构设置合理。</w:t>
            </w:r>
          </w:p>
          <w:p>
            <w:pPr>
              <w:pStyle w:val="16"/>
              <w:spacing w:line="360" w:lineRule="auto"/>
              <w:ind w:firstLine="420" w:firstLineChars="200"/>
              <w:rPr>
                <w:sz w:val="21"/>
                <w:szCs w:val="21"/>
              </w:rPr>
            </w:pPr>
            <w:r>
              <w:rPr>
                <w:rFonts w:hint="eastAsia"/>
                <w:sz w:val="21"/>
                <w:szCs w:val="21"/>
              </w:rPr>
              <w:t>公司由总经理任命</w:t>
            </w:r>
            <w:r>
              <w:rPr>
                <w:rFonts w:hint="eastAsia"/>
                <w:sz w:val="21"/>
                <w:szCs w:val="21"/>
                <w:lang w:val="en-US" w:eastAsia="zh-CN"/>
              </w:rPr>
              <w:t>李利平</w:t>
            </w:r>
            <w:r>
              <w:rPr>
                <w:rFonts w:hint="eastAsia"/>
                <w:sz w:val="21"/>
                <w:szCs w:val="21"/>
              </w:rPr>
              <w:t>为管理者代表，并在其组织策划下开展建立质量管理体系。按照GB/T19001-2016、GB/T24001-2016、GB/T45001-2020标准的要求，于2021年</w:t>
            </w:r>
            <w:r>
              <w:rPr>
                <w:rFonts w:hint="eastAsia"/>
                <w:sz w:val="21"/>
                <w:szCs w:val="21"/>
                <w:lang w:val="en-US" w:eastAsia="zh-CN"/>
              </w:rPr>
              <w:t>6</w:t>
            </w:r>
            <w:r>
              <w:rPr>
                <w:rFonts w:hint="eastAsia"/>
                <w:sz w:val="21"/>
                <w:szCs w:val="21"/>
              </w:rPr>
              <w:t>月</w:t>
            </w:r>
            <w:r>
              <w:rPr>
                <w:rFonts w:hint="eastAsia"/>
                <w:sz w:val="21"/>
                <w:szCs w:val="21"/>
                <w:lang w:val="en-US" w:eastAsia="zh-CN"/>
              </w:rPr>
              <w:t>25</w:t>
            </w:r>
            <w:r>
              <w:rPr>
                <w:rFonts w:hint="eastAsia"/>
                <w:sz w:val="21"/>
                <w:szCs w:val="21"/>
              </w:rPr>
              <w:t>日颁布并实施了管理体系文件，体系文件包括有管理手册、方针/目标、程序文件、作业文件以及体系运行所需的记录等，公司依据国家法律法规及行业规范进行弹簧钢丝的生产及相关服务，无设计开发环节，因此GB/T19001-2016标准中8.3条款的不适用，其不影响组织确保提供合格产品及增强顾客满意的能力和责任，也不影响满足适用的法律、法规要求的产品和服务。</w:t>
            </w:r>
            <w:r>
              <w:rPr>
                <w:rFonts w:hint="eastAsia"/>
                <w:sz w:val="21"/>
                <w:szCs w:val="21"/>
                <w:lang w:val="en-US" w:eastAsia="zh-CN"/>
              </w:rPr>
              <w:t>因此，</w:t>
            </w:r>
            <w:r>
              <w:rPr>
                <w:rFonts w:hint="eastAsia"/>
                <w:sz w:val="21"/>
                <w:szCs w:val="21"/>
              </w:rPr>
              <w:t>该公司文件化管理体系覆盖标准全条款。公司的质量、环境、职业健康安全管理体系运行已满3个月，运行期满足要求。</w:t>
            </w:r>
          </w:p>
          <w:p>
            <w:pPr>
              <w:pStyle w:val="16"/>
              <w:spacing w:line="360" w:lineRule="auto"/>
              <w:ind w:firstLine="420" w:firstLineChars="200"/>
              <w:rPr>
                <w:sz w:val="21"/>
                <w:szCs w:val="21"/>
              </w:rPr>
            </w:pPr>
            <w:r>
              <w:rPr>
                <w:rFonts w:hint="eastAsia"/>
                <w:sz w:val="21"/>
                <w:szCs w:val="21"/>
              </w:rPr>
              <w:t>根据顾客要求、企业的经验和资源状况，以过程方法模式，识别公司的管理体系所需的过程。采用PDCA循环的管理方法。</w:t>
            </w:r>
          </w:p>
          <w:p>
            <w:pPr>
              <w:pStyle w:val="16"/>
              <w:spacing w:line="360" w:lineRule="auto"/>
              <w:ind w:firstLine="420" w:firstLineChars="200"/>
              <w:rPr>
                <w:sz w:val="21"/>
                <w:szCs w:val="21"/>
              </w:rPr>
            </w:pPr>
            <w:r>
              <w:rPr>
                <w:rFonts w:hint="eastAsia"/>
                <w:sz w:val="21"/>
                <w:szCs w:val="21"/>
              </w:rPr>
              <w:t>重点识别</w:t>
            </w:r>
            <w:r>
              <w:rPr>
                <w:sz w:val="21"/>
                <w:szCs w:val="21"/>
              </w:rPr>
              <w:t>弹簧钢丝的生产</w:t>
            </w:r>
            <w:r>
              <w:rPr>
                <w:rFonts w:hint="eastAsia"/>
                <w:sz w:val="21"/>
                <w:szCs w:val="21"/>
              </w:rPr>
              <w:t>的实现过程、关键过程及其相互作用。通过把管理的过程方法原则和系统方法原理相结合，实现企业的全面管理。</w:t>
            </w:r>
          </w:p>
          <w:p>
            <w:pPr>
              <w:pStyle w:val="16"/>
              <w:spacing w:line="360" w:lineRule="auto"/>
              <w:ind w:firstLine="420" w:firstLineChars="200"/>
              <w:rPr>
                <w:sz w:val="21"/>
                <w:szCs w:val="21"/>
              </w:rPr>
            </w:pPr>
            <w:r>
              <w:rPr>
                <w:rFonts w:hint="eastAsia"/>
                <w:sz w:val="21"/>
                <w:szCs w:val="21"/>
              </w:rPr>
              <w:t>公司现行主要业务为</w:t>
            </w:r>
            <w:r>
              <w:rPr>
                <w:sz w:val="21"/>
                <w:szCs w:val="21"/>
              </w:rPr>
              <w:t>弹簧钢丝的生产</w:t>
            </w:r>
            <w:r>
              <w:rPr>
                <w:rFonts w:hint="eastAsia"/>
                <w:sz w:val="21"/>
                <w:szCs w:val="21"/>
              </w:rPr>
              <w:t>。</w:t>
            </w:r>
          </w:p>
          <w:p>
            <w:pPr>
              <w:pStyle w:val="16"/>
              <w:spacing w:line="360" w:lineRule="auto"/>
              <w:ind w:firstLine="420" w:firstLineChars="200"/>
              <w:rPr>
                <w:sz w:val="21"/>
                <w:szCs w:val="21"/>
              </w:rPr>
            </w:pPr>
            <w:r>
              <w:rPr>
                <w:rFonts w:hint="eastAsia"/>
                <w:sz w:val="21"/>
                <w:szCs w:val="21"/>
              </w:rPr>
              <w:t>主要生产过程为：</w:t>
            </w:r>
          </w:p>
          <w:p>
            <w:pPr>
              <w:spacing w:line="360" w:lineRule="auto"/>
              <w:rPr>
                <w:sz w:val="21"/>
                <w:szCs w:val="21"/>
              </w:rPr>
            </w:pPr>
            <w:r>
              <w:rPr>
                <w:sz w:val="21"/>
                <w:szCs w:val="21"/>
              </w:rPr>
              <w:drawing>
                <wp:inline distT="0" distB="0" distL="114300" distR="114300">
                  <wp:extent cx="5989320" cy="164465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89320" cy="1644650"/>
                          </a:xfrm>
                          <a:prstGeom prst="rect">
                            <a:avLst/>
                          </a:prstGeom>
                          <a:noFill/>
                          <a:ln>
                            <a:noFill/>
                          </a:ln>
                        </pic:spPr>
                      </pic:pic>
                    </a:graphicData>
                  </a:graphic>
                </wp:inline>
              </w:drawing>
            </w:r>
          </w:p>
          <w:p>
            <w:pPr>
              <w:pStyle w:val="2"/>
              <w:spacing w:line="360" w:lineRule="auto"/>
              <w:ind w:firstLine="460" w:firstLineChars="200"/>
              <w:rPr>
                <w:rFonts w:hint="eastAsia"/>
                <w:sz w:val="21"/>
                <w:szCs w:val="21"/>
                <w:lang w:val="en-US" w:eastAsia="zh-CN"/>
              </w:rPr>
            </w:pPr>
            <w:r>
              <w:rPr>
                <w:rFonts w:hint="eastAsia"/>
                <w:sz w:val="21"/>
                <w:szCs w:val="21"/>
                <w:lang w:val="en-US" w:eastAsia="zh-CN"/>
              </w:rPr>
              <w:t>经识别需确认的过程：拉拔</w:t>
            </w:r>
            <w:r>
              <w:rPr>
                <w:rFonts w:hint="eastAsia" w:eastAsia="宋体"/>
                <w:sz w:val="21"/>
                <w:szCs w:val="21"/>
                <w:lang w:val="en-US" w:eastAsia="zh-CN"/>
              </w:rPr>
              <w:t>和淬火。</w:t>
            </w:r>
          </w:p>
          <w:p>
            <w:pPr>
              <w:pStyle w:val="2"/>
              <w:spacing w:line="360" w:lineRule="auto"/>
              <w:rPr>
                <w:rFonts w:hint="default"/>
                <w:sz w:val="21"/>
                <w:szCs w:val="21"/>
                <w:lang w:val="en-US" w:eastAsia="zh-CN"/>
              </w:rPr>
            </w:pPr>
            <w:r>
              <w:rPr>
                <w:rFonts w:hint="eastAsia"/>
                <w:sz w:val="21"/>
                <w:szCs w:val="21"/>
                <w:lang w:val="en-US" w:eastAsia="zh-CN"/>
              </w:rPr>
              <w:t>——管理体系及其过程符合要求</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spacing w:line="360" w:lineRule="auto"/>
              <w:jc w:val="left"/>
              <w:rPr>
                <w:sz w:val="21"/>
                <w:szCs w:val="21"/>
              </w:rPr>
            </w:pPr>
            <w:r>
              <w:rPr>
                <w:rFonts w:ascii="等线" w:hAnsi="等线" w:eastAsia="等线" w:cs="等线"/>
                <w:b/>
                <w:bCs/>
                <w:color w:val="000000"/>
                <w:kern w:val="0"/>
                <w:sz w:val="21"/>
                <w:szCs w:val="21"/>
                <w:lang w:val="en-US" w:eastAsia="zh-CN" w:bidi="ar"/>
              </w:rPr>
              <w:t>领导作用和承诺</w:t>
            </w:r>
          </w:p>
          <w:p>
            <w:pPr>
              <w:spacing w:line="360" w:lineRule="auto"/>
              <w:rPr>
                <w:sz w:val="21"/>
                <w:szCs w:val="21"/>
              </w:rPr>
            </w:pPr>
          </w:p>
        </w:tc>
        <w:tc>
          <w:tcPr>
            <w:tcW w:w="960" w:type="dxa"/>
          </w:tcPr>
          <w:p>
            <w:pPr>
              <w:spacing w:line="360" w:lineRule="auto"/>
              <w:rPr>
                <w:rFonts w:hint="default"/>
                <w:sz w:val="21"/>
                <w:szCs w:val="21"/>
                <w:lang w:val="en-US"/>
              </w:rPr>
            </w:pPr>
            <w:r>
              <w:rPr>
                <w:rFonts w:hint="eastAsia"/>
                <w:sz w:val="21"/>
                <w:szCs w:val="21"/>
                <w:lang w:val="en-US" w:eastAsia="zh-CN"/>
              </w:rPr>
              <w:t>QEO5.1</w:t>
            </w:r>
          </w:p>
        </w:tc>
        <w:tc>
          <w:tcPr>
            <w:tcW w:w="10004" w:type="dxa"/>
          </w:tcPr>
          <w:p>
            <w:pPr>
              <w:spacing w:line="360" w:lineRule="auto"/>
              <w:ind w:firstLine="420" w:firstLineChars="200"/>
              <w:rPr>
                <w:rFonts w:hint="eastAsia" w:ascii="宋体" w:hAnsi="宋体"/>
                <w:sz w:val="21"/>
                <w:szCs w:val="21"/>
              </w:rPr>
            </w:pPr>
            <w:r>
              <w:rPr>
                <w:rFonts w:hint="eastAsia" w:ascii="宋体" w:hAnsi="宋体"/>
                <w:sz w:val="21"/>
                <w:szCs w:val="21"/>
              </w:rPr>
              <w:t>查“质量、环境、职业健安全管理手册”中包括管理体系标准要求的领导作用和承诺内容</w:t>
            </w:r>
          </w:p>
          <w:p>
            <w:pPr>
              <w:keepNext w:val="0"/>
              <w:keepLines w:val="0"/>
              <w:pageBreakBefore w:val="0"/>
              <w:kinsoku/>
              <w:overflowPunct/>
              <w:topLinePunct w:val="0"/>
              <w:bidi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公司总经理通过以下方式证实他对质量、环境和职业健康安全管理体系的领导作用和承诺：</w:t>
            </w:r>
          </w:p>
          <w:p>
            <w:pPr>
              <w:keepNext w:val="0"/>
              <w:keepLines w:val="0"/>
              <w:pageBreakBefore w:val="0"/>
              <w:kinsoku/>
              <w:overflowPunct/>
              <w:topLinePunct w:val="0"/>
              <w:bidi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a）对质量、环境和职业健康安全管理体系的有效性承担责任；</w:t>
            </w:r>
          </w:p>
          <w:p>
            <w:pPr>
              <w:keepNext w:val="0"/>
              <w:keepLines w:val="0"/>
              <w:pageBreakBefore w:val="0"/>
              <w:kinsoku/>
              <w:overflowPunct/>
              <w:topLinePunct w:val="0"/>
              <w:bidi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b）确保制定质量、环境和职业健康安全管理体系的质量、环境和职业健康安全管理方针和质量、环境和职业健康安全目标，并与公司所处的内外部环境和战略方向相一致；</w:t>
            </w:r>
          </w:p>
          <w:p>
            <w:pPr>
              <w:keepNext w:val="0"/>
              <w:keepLines w:val="0"/>
              <w:pageBreakBefore w:val="0"/>
              <w:kinsoku/>
              <w:overflowPunct/>
              <w:topLinePunct w:val="0"/>
              <w:bidi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c）确保将质量、环境和职业健康安全管理体系要求融入与组织的业务过程；</w:t>
            </w:r>
          </w:p>
          <w:p>
            <w:pPr>
              <w:keepNext w:val="0"/>
              <w:keepLines w:val="0"/>
              <w:pageBreakBefore w:val="0"/>
              <w:kinsoku/>
              <w:overflowPunct/>
              <w:topLinePunct w:val="0"/>
              <w:bidi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d）促进使用过程方法和基于风险的思维；</w:t>
            </w:r>
          </w:p>
          <w:p>
            <w:pPr>
              <w:keepNext w:val="0"/>
              <w:keepLines w:val="0"/>
              <w:pageBreakBefore w:val="0"/>
              <w:kinsoku/>
              <w:overflowPunct/>
              <w:topLinePunct w:val="0"/>
              <w:bidi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e）确保获得质量、环境和职业健康安全管理体系所需的资源；</w:t>
            </w:r>
          </w:p>
          <w:p>
            <w:pPr>
              <w:keepNext w:val="0"/>
              <w:keepLines w:val="0"/>
              <w:pageBreakBefore w:val="0"/>
              <w:kinsoku/>
              <w:overflowPunct/>
              <w:topLinePunct w:val="0"/>
              <w:bidi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f）沟通有效的质量、环境和职业健康安全管理和符合质量、环境和职业健康安全管理体系要求的重要性；</w:t>
            </w:r>
          </w:p>
          <w:p>
            <w:pPr>
              <w:keepNext w:val="0"/>
              <w:keepLines w:val="0"/>
              <w:pageBreakBefore w:val="0"/>
              <w:kinsoku/>
              <w:overflowPunct/>
              <w:topLinePunct w:val="0"/>
              <w:bidi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g）确保实现质量、环境和职业健康安全管理体系的预期结果；</w:t>
            </w:r>
          </w:p>
          <w:p>
            <w:pPr>
              <w:keepNext w:val="0"/>
              <w:keepLines w:val="0"/>
              <w:pageBreakBefore w:val="0"/>
              <w:kinsoku/>
              <w:overflowPunct/>
              <w:topLinePunct w:val="0"/>
              <w:bidi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h）促进、指导和支持员工努力提高质量、环境和职业健康安全管理体系的有效性作出贡献；</w:t>
            </w:r>
          </w:p>
          <w:p>
            <w:pPr>
              <w:keepNext w:val="0"/>
              <w:keepLines w:val="0"/>
              <w:pageBreakBefore w:val="0"/>
              <w:kinsoku/>
              <w:overflowPunct/>
              <w:topLinePunct w:val="0"/>
              <w:bidi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i）促进推动持续改进；</w:t>
            </w:r>
          </w:p>
          <w:p>
            <w:pPr>
              <w:keepNext w:val="0"/>
              <w:keepLines w:val="0"/>
              <w:pageBreakBefore w:val="0"/>
              <w:kinsoku/>
              <w:overflowPunct/>
              <w:topLinePunct w:val="0"/>
              <w:bidi w:val="0"/>
              <w:spacing w:line="360" w:lineRule="auto"/>
              <w:ind w:firstLine="48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rPr>
              <w:t>j）支持其他管理者履行相关领域的职责</w:t>
            </w:r>
            <w:r>
              <w:rPr>
                <w:rFonts w:hint="eastAsia" w:ascii="宋体" w:hAnsi="宋体" w:eastAsia="宋体" w:cs="宋体"/>
                <w:color w:val="auto"/>
                <w:sz w:val="21"/>
                <w:szCs w:val="21"/>
                <w:lang w:eastAsia="zh-CN"/>
              </w:rPr>
              <w:t>；</w:t>
            </w:r>
          </w:p>
          <w:p>
            <w:pPr>
              <w:keepNext w:val="0"/>
              <w:keepLines w:val="0"/>
              <w:pageBreakBefore w:val="0"/>
              <w:kinsoku/>
              <w:overflowPunct/>
              <w:topLinePunct w:val="0"/>
              <w:bidi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k) 当报告事件、危险源、风险和机遇时，保护员工免遭报复；</w:t>
            </w:r>
          </w:p>
          <w:p>
            <w:pPr>
              <w:keepNext w:val="0"/>
              <w:keepLines w:val="0"/>
              <w:pageBreakBefore w:val="0"/>
              <w:kinsoku/>
              <w:overflowPunct/>
              <w:topLinePunct w:val="0"/>
              <w:bidi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l) 确保组织建立和实施员工参与和协商的过程；</w:t>
            </w:r>
          </w:p>
          <w:p>
            <w:pPr>
              <w:keepNext w:val="0"/>
              <w:keepLines w:val="0"/>
              <w:pageBreakBefore w:val="0"/>
              <w:kinsoku/>
              <w:overflowPunct/>
              <w:topLinePunct w:val="0"/>
              <w:bidi w:val="0"/>
              <w:spacing w:line="360" w:lineRule="auto"/>
              <w:ind w:firstLine="480"/>
              <w:textAlignment w:val="auto"/>
              <w:rPr>
                <w:rFonts w:hint="eastAsia" w:eastAsia="宋体"/>
                <w:sz w:val="21"/>
                <w:szCs w:val="21"/>
                <w:lang w:val="en-US" w:eastAsia="zh-CN"/>
              </w:rPr>
            </w:pPr>
            <w:r>
              <w:rPr>
                <w:rFonts w:hint="eastAsia" w:ascii="宋体" w:hAnsi="宋体" w:eastAsia="宋体" w:cs="宋体"/>
                <w:color w:val="auto"/>
                <w:sz w:val="21"/>
                <w:szCs w:val="21"/>
              </w:rPr>
              <w:t>m) 支持健康安全委员会的建立和运行。</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spacing w:line="360" w:lineRule="auto"/>
              <w:jc w:val="left"/>
              <w:rPr>
                <w:sz w:val="21"/>
                <w:szCs w:val="21"/>
              </w:rPr>
            </w:pPr>
            <w:r>
              <w:rPr>
                <w:rFonts w:ascii="等线" w:hAnsi="等线" w:eastAsia="等线" w:cs="等线"/>
                <w:b/>
                <w:bCs/>
                <w:color w:val="000000"/>
                <w:kern w:val="0"/>
                <w:sz w:val="21"/>
                <w:szCs w:val="21"/>
                <w:lang w:val="en-US" w:eastAsia="zh-CN" w:bidi="ar"/>
              </w:rPr>
              <w:t>方针</w:t>
            </w:r>
          </w:p>
          <w:p>
            <w:pPr>
              <w:spacing w:line="360" w:lineRule="auto"/>
              <w:rPr>
                <w:sz w:val="21"/>
                <w:szCs w:val="21"/>
              </w:rPr>
            </w:pPr>
          </w:p>
        </w:tc>
        <w:tc>
          <w:tcPr>
            <w:tcW w:w="960" w:type="dxa"/>
          </w:tcPr>
          <w:p>
            <w:pPr>
              <w:spacing w:line="360" w:lineRule="auto"/>
              <w:rPr>
                <w:rFonts w:hint="default"/>
                <w:sz w:val="21"/>
                <w:szCs w:val="21"/>
                <w:lang w:val="en-US"/>
              </w:rPr>
            </w:pPr>
            <w:r>
              <w:rPr>
                <w:rFonts w:hint="eastAsia"/>
                <w:sz w:val="21"/>
                <w:szCs w:val="21"/>
                <w:lang w:val="en-US" w:eastAsia="zh-CN"/>
              </w:rPr>
              <w:t>QEO5.2</w:t>
            </w:r>
          </w:p>
        </w:tc>
        <w:tc>
          <w:tcPr>
            <w:tcW w:w="10004" w:type="dxa"/>
          </w:tcPr>
          <w:p>
            <w:pPr>
              <w:pStyle w:val="16"/>
              <w:spacing w:line="360" w:lineRule="auto"/>
              <w:ind w:firstLine="420" w:firstLineChars="200"/>
              <w:rPr>
                <w:rFonts w:hint="eastAsia" w:ascii="宋体" w:hAnsi="宋体"/>
                <w:sz w:val="21"/>
                <w:szCs w:val="21"/>
              </w:rPr>
            </w:pPr>
            <w:r>
              <w:rPr>
                <w:rFonts w:hint="eastAsia" w:ascii="宋体" w:hAnsi="宋体"/>
                <w:sz w:val="21"/>
                <w:szCs w:val="21"/>
              </w:rPr>
              <w:t>查管理手册中包括ＱＥＳ方针。</w:t>
            </w:r>
          </w:p>
          <w:p>
            <w:pPr>
              <w:pStyle w:val="16"/>
              <w:spacing w:line="360" w:lineRule="auto"/>
              <w:ind w:firstLine="420" w:firstLineChars="200"/>
              <w:rPr>
                <w:rFonts w:hint="eastAsia" w:ascii="宋体" w:hAnsi="宋体"/>
                <w:sz w:val="21"/>
                <w:szCs w:val="21"/>
              </w:rPr>
            </w:pPr>
            <w:r>
              <w:rPr>
                <w:rFonts w:hint="eastAsia" w:ascii="宋体" w:hAnsi="宋体"/>
                <w:sz w:val="21"/>
                <w:szCs w:val="21"/>
              </w:rPr>
              <w:t>ＱＥＳ方针与公司战略相适宜。</w:t>
            </w:r>
          </w:p>
          <w:p>
            <w:pPr>
              <w:pStyle w:val="16"/>
              <w:spacing w:line="360" w:lineRule="auto"/>
              <w:ind w:firstLine="420" w:firstLineChars="200"/>
              <w:rPr>
                <w:rFonts w:hint="eastAsia" w:ascii="宋体" w:hAnsi="宋体"/>
                <w:sz w:val="21"/>
                <w:szCs w:val="21"/>
              </w:rPr>
            </w:pPr>
            <w:r>
              <w:rPr>
                <w:rFonts w:hint="eastAsia" w:ascii="宋体" w:hAnsi="宋体"/>
                <w:sz w:val="21"/>
                <w:szCs w:val="21"/>
              </w:rPr>
              <w:t>通过发放文件、会议（每周部门会议，每月公司会议）、培训等方式向员工传达，使得员工理解和应用。</w:t>
            </w:r>
          </w:p>
          <w:p>
            <w:pPr>
              <w:pStyle w:val="16"/>
              <w:spacing w:line="360" w:lineRule="auto"/>
              <w:ind w:firstLine="420" w:firstLineChars="200"/>
              <w:rPr>
                <w:rFonts w:hint="eastAsia" w:ascii="宋体" w:hAnsi="宋体"/>
                <w:sz w:val="21"/>
                <w:szCs w:val="21"/>
              </w:rPr>
            </w:pPr>
            <w:r>
              <w:rPr>
                <w:rFonts w:hint="eastAsia" w:ascii="宋体" w:hAnsi="宋体"/>
                <w:sz w:val="21"/>
                <w:szCs w:val="21"/>
              </w:rPr>
              <w:t>管理评审中对适宜性进行评审。</w:t>
            </w:r>
          </w:p>
          <w:p>
            <w:pPr>
              <w:pStyle w:val="16"/>
              <w:spacing w:line="360" w:lineRule="auto"/>
              <w:ind w:firstLine="420" w:firstLineChars="200"/>
              <w:rPr>
                <w:rFonts w:ascii="宋体" w:hAnsi="宋体"/>
                <w:sz w:val="21"/>
                <w:szCs w:val="21"/>
              </w:rPr>
            </w:pPr>
            <w:r>
              <w:rPr>
                <w:rFonts w:hint="eastAsia" w:ascii="宋体" w:hAnsi="宋体"/>
                <w:sz w:val="21"/>
                <w:szCs w:val="21"/>
              </w:rPr>
              <w:t>能够提供管理体系建立、运行的资源；实施内审、管理评审等。</w:t>
            </w:r>
          </w:p>
          <w:p>
            <w:pPr>
              <w:pStyle w:val="16"/>
              <w:spacing w:line="360" w:lineRule="auto"/>
              <w:ind w:firstLine="420" w:firstLineChars="200"/>
              <w:rPr>
                <w:rFonts w:hint="eastAsia" w:ascii="宋体" w:hAnsi="宋体"/>
                <w:sz w:val="21"/>
                <w:szCs w:val="21"/>
              </w:rPr>
            </w:pPr>
          </w:p>
          <w:p>
            <w:pPr>
              <w:keepNext w:val="0"/>
              <w:keepLines w:val="0"/>
              <w:pageBreakBefore w:val="0"/>
              <w:kinsoku/>
              <w:overflowPunct/>
              <w:topLinePunct w:val="0"/>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环境及职业健康安全方针</w:t>
            </w:r>
          </w:p>
          <w:p>
            <w:pPr>
              <w:pStyle w:val="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顾客至上，质量为先；强化管理，持续改进；</w:t>
            </w:r>
          </w:p>
          <w:p>
            <w:pPr>
              <w:pStyle w:val="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rPr>
              <w:t>环保美观，结构合理，关爱环境，预防污染</w:t>
            </w:r>
            <w:r>
              <w:rPr>
                <w:rFonts w:hint="eastAsia" w:ascii="宋体" w:hAnsi="宋体" w:eastAsia="宋体" w:cs="宋体"/>
                <w:b/>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val="0"/>
                <w:color w:val="auto"/>
                <w:sz w:val="21"/>
                <w:szCs w:val="21"/>
              </w:rPr>
              <w:t>关爱生命，关注安全，</w:t>
            </w:r>
            <w:r>
              <w:rPr>
                <w:rFonts w:hint="eastAsia" w:ascii="宋体" w:hAnsi="宋体" w:eastAsia="宋体" w:cs="宋体"/>
                <w:b/>
                <w:bCs w:val="0"/>
                <w:color w:val="auto"/>
                <w:spacing w:val="18"/>
                <w:sz w:val="21"/>
                <w:szCs w:val="21"/>
              </w:rPr>
              <w:t>遵规守法，降低风险</w:t>
            </w:r>
            <w:r>
              <w:rPr>
                <w:rFonts w:hint="eastAsia" w:ascii="宋体" w:hAnsi="宋体" w:eastAsia="宋体" w:cs="宋体"/>
                <w:b/>
                <w:bCs w:val="0"/>
                <w:color w:val="auto"/>
                <w:spacing w:val="18"/>
                <w:sz w:val="21"/>
                <w:szCs w:val="21"/>
                <w:lang w:eastAsia="zh-CN"/>
              </w:rPr>
              <w:t>。</w:t>
            </w:r>
          </w:p>
          <w:p>
            <w:pPr>
              <w:spacing w:line="360" w:lineRule="auto"/>
              <w:rPr>
                <w:sz w:val="21"/>
                <w:szCs w:val="21"/>
              </w:rPr>
            </w:pP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spacing w:line="360" w:lineRule="auto"/>
              <w:jc w:val="left"/>
              <w:rPr>
                <w:sz w:val="21"/>
                <w:szCs w:val="21"/>
              </w:rPr>
            </w:pPr>
            <w:r>
              <w:rPr>
                <w:rFonts w:ascii="等线" w:hAnsi="等线" w:eastAsia="等线" w:cs="等线"/>
                <w:color w:val="000000"/>
                <w:kern w:val="0"/>
                <w:sz w:val="21"/>
                <w:szCs w:val="21"/>
                <w:lang w:val="en-US" w:eastAsia="zh-CN" w:bidi="ar"/>
              </w:rPr>
              <w:t>组织内的角色、职责和权限</w:t>
            </w:r>
          </w:p>
          <w:p>
            <w:pPr>
              <w:spacing w:line="360" w:lineRule="auto"/>
              <w:rPr>
                <w:sz w:val="21"/>
                <w:szCs w:val="21"/>
              </w:rPr>
            </w:pPr>
          </w:p>
        </w:tc>
        <w:tc>
          <w:tcPr>
            <w:tcW w:w="960" w:type="dxa"/>
          </w:tcPr>
          <w:p>
            <w:pPr>
              <w:spacing w:line="360" w:lineRule="auto"/>
              <w:rPr>
                <w:rFonts w:hint="default"/>
                <w:sz w:val="21"/>
                <w:szCs w:val="21"/>
                <w:lang w:val="en-US"/>
              </w:rPr>
            </w:pPr>
            <w:r>
              <w:rPr>
                <w:rFonts w:hint="eastAsia"/>
                <w:sz w:val="21"/>
                <w:szCs w:val="21"/>
                <w:lang w:val="en-US" w:eastAsia="zh-CN"/>
              </w:rPr>
              <w:t>QEO5.3</w:t>
            </w:r>
          </w:p>
        </w:tc>
        <w:tc>
          <w:tcPr>
            <w:tcW w:w="10004" w:type="dxa"/>
          </w:tcPr>
          <w:p>
            <w:pPr>
              <w:keepNext w:val="0"/>
              <w:keepLines w:val="0"/>
              <w:pageBreakBefore w:val="0"/>
              <w:kinsoku/>
              <w:overflowPunct/>
              <w:topLinePunct w:val="0"/>
              <w:bidi w:val="0"/>
              <w:spacing w:line="360" w:lineRule="auto"/>
              <w:ind w:firstLine="420" w:firstLineChars="200"/>
              <w:textAlignment w:val="auto"/>
              <w:outlineLvl w:val="9"/>
              <w:rPr>
                <w:rFonts w:hint="eastAsia"/>
                <w:sz w:val="21"/>
                <w:szCs w:val="21"/>
                <w:lang w:val="en-US" w:eastAsia="zh-CN"/>
              </w:rPr>
            </w:pPr>
            <w:r>
              <w:rPr>
                <w:rFonts w:hint="eastAsia" w:ascii="宋体" w:hAnsi="宋体"/>
                <w:sz w:val="21"/>
                <w:szCs w:val="21"/>
              </w:rPr>
              <w:t>查管理手册中包括组织机构、职责等。</w:t>
            </w:r>
            <w:r>
              <w:rPr>
                <w:rFonts w:hint="eastAsia" w:ascii="宋体" w:hAnsi="宋体"/>
                <w:sz w:val="21"/>
                <w:szCs w:val="21"/>
                <w:lang w:val="en-US" w:eastAsia="zh-CN"/>
              </w:rPr>
              <w:t>包括</w:t>
            </w:r>
            <w:r>
              <w:rPr>
                <w:rFonts w:hint="eastAsia" w:ascii="宋体" w:hAnsi="宋体" w:eastAsia="宋体"/>
                <w:sz w:val="21"/>
                <w:szCs w:val="21"/>
                <w:lang w:val="en-US" w:eastAsia="zh-CN"/>
              </w:rPr>
              <w:t>：</w:t>
            </w:r>
            <w:r>
              <w:rPr>
                <w:rFonts w:hint="eastAsia" w:ascii="宋体" w:hAnsi="宋体" w:eastAsia="宋体"/>
                <w:sz w:val="21"/>
                <w:szCs w:val="21"/>
              </w:rPr>
              <w:t>总经理</w:t>
            </w:r>
            <w:r>
              <w:rPr>
                <w:rFonts w:hint="eastAsia" w:ascii="宋体" w:hAnsi="宋体" w:eastAsia="宋体"/>
                <w:sz w:val="21"/>
                <w:szCs w:val="21"/>
                <w:lang w:eastAsia="zh-CN"/>
              </w:rPr>
              <w:t>、</w:t>
            </w:r>
            <w:r>
              <w:rPr>
                <w:rFonts w:hint="eastAsia" w:ascii="宋体" w:hAnsi="宋体" w:eastAsia="宋体"/>
                <w:sz w:val="21"/>
                <w:szCs w:val="21"/>
              </w:rPr>
              <w:t>管理者代表</w:t>
            </w:r>
            <w:r>
              <w:rPr>
                <w:rFonts w:hint="eastAsia" w:ascii="宋体" w:hAnsi="宋体" w:eastAsia="宋体"/>
                <w:sz w:val="21"/>
                <w:szCs w:val="21"/>
                <w:lang w:eastAsia="zh-CN"/>
              </w:rPr>
              <w:t>、综合管理部、生产部</w:t>
            </w:r>
            <w:r>
              <w:rPr>
                <w:rFonts w:hint="eastAsia" w:ascii="Times New Roman" w:hAnsi="Times New Roman"/>
                <w:sz w:val="21"/>
                <w:szCs w:val="21"/>
              </w:rPr>
              <w:t>生产部（含车间、仓库</w:t>
            </w:r>
            <w:r>
              <w:rPr>
                <w:rFonts w:hint="eastAsia" w:ascii="Times New Roman" w:hAnsi="Times New Roman"/>
                <w:sz w:val="21"/>
                <w:szCs w:val="21"/>
                <w:lang w:eastAsia="zh-CN"/>
              </w:rPr>
              <w:t>、</w:t>
            </w:r>
            <w:r>
              <w:rPr>
                <w:rFonts w:hint="eastAsia" w:ascii="Times New Roman" w:hAnsi="Times New Roman"/>
                <w:sz w:val="21"/>
                <w:szCs w:val="21"/>
                <w:lang w:val="en-US" w:eastAsia="zh-CN"/>
              </w:rPr>
              <w:t>检验、采购、销售</w:t>
            </w:r>
            <w:r>
              <w:rPr>
                <w:rFonts w:hint="eastAsia" w:ascii="Times New Roman" w:hAnsi="Times New Roman"/>
                <w:sz w:val="21"/>
                <w:szCs w:val="21"/>
              </w:rPr>
              <w:t>）</w:t>
            </w:r>
            <w:r>
              <w:rPr>
                <w:rFonts w:hint="eastAsia" w:ascii="宋体" w:hAnsi="宋体" w:eastAsia="宋体"/>
                <w:sz w:val="21"/>
                <w:szCs w:val="21"/>
                <w:lang w:eastAsia="zh-CN"/>
              </w:rPr>
              <w:t>、</w:t>
            </w:r>
            <w:r>
              <w:rPr>
                <w:rFonts w:hint="eastAsia" w:ascii="宋体" w:hAnsi="宋体" w:eastAsia="宋体"/>
                <w:sz w:val="21"/>
                <w:szCs w:val="21"/>
              </w:rPr>
              <w:t>员工代表</w:t>
            </w:r>
            <w:r>
              <w:rPr>
                <w:rFonts w:hint="eastAsia" w:ascii="宋体" w:hAnsi="宋体" w:eastAsia="宋体"/>
                <w:sz w:val="21"/>
                <w:szCs w:val="21"/>
                <w:lang w:val="en-US" w:eastAsia="zh-CN"/>
              </w:rPr>
              <w:t>等</w:t>
            </w:r>
            <w:r>
              <w:rPr>
                <w:rFonts w:hint="eastAsia" w:ascii="宋体" w:hAnsi="宋体"/>
                <w:sz w:val="21"/>
                <w:szCs w:val="21"/>
                <w:lang w:val="en-US" w:eastAsia="zh-CN"/>
              </w:rPr>
              <w:t>；</w:t>
            </w:r>
            <w:r>
              <w:rPr>
                <w:rFonts w:hint="eastAsia" w:ascii="Times New Roman" w:hAnsi="Times New Roman"/>
                <w:sz w:val="21"/>
                <w:szCs w:val="21"/>
              </w:rPr>
              <w:t>其涵括了公司产品经营全过程以及体系支持过程，无过程职责管理遗漏；组织架构稳定，组织机构设置合理。</w:t>
            </w:r>
          </w:p>
          <w:p>
            <w:pPr>
              <w:pStyle w:val="16"/>
              <w:spacing w:line="360" w:lineRule="auto"/>
              <w:ind w:firstLine="420" w:firstLineChars="200"/>
              <w:rPr>
                <w:rFonts w:hint="eastAsia" w:ascii="宋体" w:hAnsi="宋体" w:eastAsia="宋体"/>
                <w:sz w:val="21"/>
                <w:szCs w:val="21"/>
                <w:lang w:val="en-US" w:eastAsia="zh-CN"/>
              </w:rPr>
            </w:pPr>
          </w:p>
          <w:p>
            <w:pPr>
              <w:spacing w:line="360" w:lineRule="auto"/>
              <w:ind w:firstLine="420" w:firstLineChars="200"/>
              <w:rPr>
                <w:sz w:val="21"/>
                <w:szCs w:val="21"/>
              </w:rPr>
            </w:pP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spacing w:line="360" w:lineRule="auto"/>
              <w:jc w:val="left"/>
              <w:rPr>
                <w:sz w:val="21"/>
                <w:szCs w:val="21"/>
              </w:rPr>
            </w:pPr>
            <w:r>
              <w:rPr>
                <w:rFonts w:ascii="黑体" w:hAnsi="宋体" w:eastAsia="黑体" w:cs="黑体"/>
                <w:color w:val="000000"/>
                <w:kern w:val="0"/>
                <w:sz w:val="21"/>
                <w:szCs w:val="21"/>
                <w:lang w:val="en-US" w:eastAsia="zh-CN" w:bidi="ar"/>
              </w:rPr>
              <w:t xml:space="preserve">工作人员的协商和参与 </w:t>
            </w:r>
          </w:p>
          <w:p>
            <w:pPr>
              <w:spacing w:line="360" w:lineRule="auto"/>
              <w:rPr>
                <w:sz w:val="21"/>
                <w:szCs w:val="21"/>
              </w:rPr>
            </w:pPr>
          </w:p>
        </w:tc>
        <w:tc>
          <w:tcPr>
            <w:tcW w:w="960" w:type="dxa"/>
          </w:tcPr>
          <w:p>
            <w:pPr>
              <w:spacing w:line="360" w:lineRule="auto"/>
              <w:rPr>
                <w:rFonts w:hint="default" w:eastAsia="宋体"/>
                <w:sz w:val="21"/>
                <w:szCs w:val="21"/>
                <w:lang w:val="en-US" w:eastAsia="zh-CN"/>
              </w:rPr>
            </w:pPr>
            <w:r>
              <w:rPr>
                <w:rFonts w:hint="eastAsia"/>
                <w:sz w:val="21"/>
                <w:szCs w:val="21"/>
                <w:lang w:val="en-US" w:eastAsia="zh-CN"/>
              </w:rPr>
              <w:t>O5.4</w:t>
            </w:r>
          </w:p>
        </w:tc>
        <w:tc>
          <w:tcPr>
            <w:tcW w:w="10004" w:type="dxa"/>
          </w:tcPr>
          <w:p>
            <w:pPr>
              <w:keepNext w:val="0"/>
              <w:keepLines w:val="0"/>
              <w:pageBreakBefore w:val="0"/>
              <w:kinsoku/>
              <w:overflowPunct/>
              <w:topLinePunct w:val="0"/>
              <w:bidi w:val="0"/>
              <w:spacing w:line="360" w:lineRule="auto"/>
              <w:ind w:firstLine="420" w:firstLineChars="200"/>
              <w:textAlignment w:val="auto"/>
              <w:outlineLvl w:val="0"/>
              <w:rPr>
                <w:rFonts w:hint="default" w:ascii="宋体" w:hAnsi="宋体" w:eastAsia="宋体"/>
                <w:sz w:val="21"/>
                <w:szCs w:val="21"/>
                <w:lang w:val="en-US" w:eastAsia="zh-CN"/>
              </w:rPr>
            </w:pPr>
            <w:r>
              <w:rPr>
                <w:rFonts w:hint="eastAsia" w:ascii="宋体" w:hAnsi="宋体"/>
                <w:sz w:val="21"/>
                <w:szCs w:val="21"/>
              </w:rPr>
              <w:t>查管理手册中</w:t>
            </w:r>
            <w:bookmarkStart w:id="4" w:name="_Toc27253"/>
            <w:r>
              <w:rPr>
                <w:rFonts w:hint="eastAsia" w:ascii="宋体" w:hAnsi="宋体" w:eastAsia="宋体"/>
                <w:sz w:val="21"/>
                <w:szCs w:val="21"/>
              </w:rPr>
              <w:t>0</w:t>
            </w:r>
            <w:r>
              <w:rPr>
                <w:rFonts w:hint="eastAsia" w:ascii="宋体" w:hAnsi="宋体" w:eastAsia="宋体"/>
                <w:sz w:val="21"/>
                <w:szCs w:val="21"/>
                <w:lang w:val="en-US" w:eastAsia="zh-CN"/>
              </w:rPr>
              <w:t>2</w:t>
            </w:r>
            <w:r>
              <w:rPr>
                <w:rFonts w:hint="eastAsia" w:ascii="宋体" w:hAnsi="宋体" w:eastAsia="宋体"/>
                <w:sz w:val="21"/>
                <w:szCs w:val="21"/>
              </w:rPr>
              <w:t>批准和任命声明</w:t>
            </w:r>
            <w:bookmarkEnd w:id="4"/>
            <w:r>
              <w:rPr>
                <w:rFonts w:hint="eastAsia" w:ascii="宋体" w:hAnsi="宋体" w:eastAsia="宋体"/>
                <w:sz w:val="21"/>
                <w:szCs w:val="21"/>
                <w:lang w:val="en-US" w:eastAsia="zh-CN"/>
              </w:rPr>
              <w:t>中有员工代表任命书：</w:t>
            </w:r>
          </w:p>
          <w:p>
            <w:pPr>
              <w:spacing w:line="360" w:lineRule="auto"/>
              <w:ind w:firstLine="499" w:firstLineChars="238"/>
              <w:rPr>
                <w:rFonts w:hint="eastAsia" w:ascii="宋体" w:hAnsi="宋体" w:eastAsia="宋体" w:cs="宋体"/>
                <w:sz w:val="21"/>
                <w:szCs w:val="21"/>
              </w:rPr>
            </w:pPr>
            <w:r>
              <w:rPr>
                <w:rFonts w:hint="eastAsia" w:ascii="宋体" w:hAnsi="宋体" w:eastAsia="宋体" w:cs="宋体"/>
                <w:sz w:val="21"/>
                <w:szCs w:val="21"/>
              </w:rPr>
              <w:t>任命：</w:t>
            </w:r>
            <w:r>
              <w:rPr>
                <w:rFonts w:hint="eastAsia" w:ascii="宋体" w:hAnsi="宋体" w:eastAsia="宋体" w:cs="宋体"/>
                <w:b/>
                <w:bCs/>
                <w:color w:val="auto"/>
                <w:sz w:val="21"/>
                <w:szCs w:val="21"/>
                <w:u w:val="single"/>
                <w:lang w:val="en-US" w:eastAsia="zh-CN"/>
              </w:rPr>
              <w:t xml:space="preserve"> 陈达  </w:t>
            </w:r>
            <w:r>
              <w:rPr>
                <w:rFonts w:hint="eastAsia" w:ascii="宋体" w:hAnsi="宋体" w:eastAsia="宋体" w:cs="宋体"/>
                <w:sz w:val="21"/>
                <w:szCs w:val="21"/>
              </w:rPr>
              <w:t>为公司</w:t>
            </w:r>
            <w:r>
              <w:rPr>
                <w:rFonts w:hint="eastAsia" w:ascii="宋体" w:hAnsi="宋体" w:eastAsia="宋体" w:cs="宋体"/>
                <w:sz w:val="21"/>
                <w:szCs w:val="21"/>
                <w:lang w:eastAsia="zh-CN"/>
              </w:rPr>
              <w:t>员工代表</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他（她）们职责：</w:t>
            </w:r>
          </w:p>
          <w:p>
            <w:pPr>
              <w:numPr>
                <w:ilvl w:val="0"/>
                <w:numId w:val="1"/>
              </w:numPr>
              <w:spacing w:line="360" w:lineRule="auto"/>
              <w:ind w:left="425" w:leftChars="0" w:hanging="425"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代表员工就工时、工资、人权、福利、工作环境、健康安全等员工所关心的问题与管理层进行交涉。</w:t>
            </w:r>
          </w:p>
          <w:p>
            <w:pPr>
              <w:numPr>
                <w:ilvl w:val="0"/>
                <w:numId w:val="1"/>
              </w:numPr>
              <w:spacing w:line="360" w:lineRule="auto"/>
              <w:ind w:left="425" w:leftChars="0" w:hanging="425"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定期参加与管理层的沟通会议，提报员工所关心的问题和公司工厂规范的实施情况，协助员工申诉及调查处理的取证工作。 </w:t>
            </w:r>
          </w:p>
          <w:p>
            <w:pPr>
              <w:numPr>
                <w:ilvl w:val="0"/>
                <w:numId w:val="1"/>
              </w:numPr>
              <w:spacing w:line="360" w:lineRule="auto"/>
              <w:ind w:left="425" w:leftChars="0" w:hanging="425"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监督员工投诉及处理的公正性。</w:t>
            </w:r>
          </w:p>
          <w:p>
            <w:pPr>
              <w:numPr>
                <w:ilvl w:val="0"/>
                <w:numId w:val="1"/>
              </w:numPr>
              <w:spacing w:line="360" w:lineRule="auto"/>
              <w:ind w:left="425" w:leftChars="0" w:hanging="425"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不定期收集员工所关心的问题或意见回馈给管理代表，并监督处理的公正性。</w:t>
            </w:r>
          </w:p>
          <w:p>
            <w:pPr>
              <w:numPr>
                <w:ilvl w:val="0"/>
                <w:numId w:val="1"/>
              </w:numPr>
              <w:spacing w:line="360" w:lineRule="auto"/>
              <w:ind w:left="425" w:leftChars="0" w:hanging="425"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有权享受与其它员工相同的待遇。 </w:t>
            </w:r>
          </w:p>
          <w:p>
            <w:pPr>
              <w:keepNext w:val="0"/>
              <w:keepLines w:val="0"/>
              <w:pageBreakBefore w:val="0"/>
              <w:kinsoku/>
              <w:overflowPunct/>
              <w:topLinePunct w:val="0"/>
              <w:bidi w:val="0"/>
              <w:spacing w:line="360" w:lineRule="auto"/>
              <w:textAlignment w:val="auto"/>
              <w:outlineLvl w:val="1"/>
              <w:rPr>
                <w:sz w:val="21"/>
                <w:szCs w:val="21"/>
              </w:rPr>
            </w:pPr>
            <w:r>
              <w:rPr>
                <w:rFonts w:hint="eastAsia" w:ascii="宋体" w:hAnsi="宋体" w:eastAsia="宋体"/>
                <w:sz w:val="21"/>
                <w:szCs w:val="21"/>
                <w:lang w:val="en-US" w:eastAsia="zh-CN"/>
              </w:rPr>
              <w:t>等等</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sz w:val="21"/>
                <w:szCs w:val="21"/>
              </w:rPr>
            </w:pPr>
            <w:r>
              <w:rPr>
                <w:rFonts w:hint="eastAsia" w:ascii="宋体" w:hAnsi="宋体" w:cs="Arial"/>
                <w:spacing w:val="-6"/>
                <w:sz w:val="21"/>
                <w:szCs w:val="21"/>
              </w:rPr>
              <w:t>应对风险和机遇的措施</w:t>
            </w:r>
          </w:p>
        </w:tc>
        <w:tc>
          <w:tcPr>
            <w:tcW w:w="960" w:type="dxa"/>
          </w:tcPr>
          <w:p>
            <w:pPr>
              <w:spacing w:line="360" w:lineRule="auto"/>
              <w:rPr>
                <w:rFonts w:hint="default"/>
                <w:sz w:val="21"/>
                <w:szCs w:val="21"/>
                <w:lang w:val="en-US"/>
              </w:rPr>
            </w:pPr>
            <w:r>
              <w:rPr>
                <w:rFonts w:hint="eastAsia"/>
                <w:sz w:val="21"/>
                <w:szCs w:val="21"/>
                <w:lang w:val="en-US" w:eastAsia="zh-CN"/>
              </w:rPr>
              <w:t>QEO6.1</w:t>
            </w:r>
          </w:p>
        </w:tc>
        <w:tc>
          <w:tcPr>
            <w:tcW w:w="10004" w:type="dxa"/>
          </w:tcPr>
          <w:p>
            <w:pPr>
              <w:spacing w:line="360" w:lineRule="auto"/>
              <w:ind w:firstLine="420" w:firstLineChars="200"/>
              <w:rPr>
                <w:rFonts w:hint="eastAsia"/>
                <w:sz w:val="21"/>
                <w:szCs w:val="21"/>
                <w:lang w:val="en-US" w:eastAsia="zh-CN"/>
              </w:rPr>
            </w:pPr>
            <w:r>
              <w:rPr>
                <w:rFonts w:hint="eastAsia"/>
                <w:sz w:val="21"/>
                <w:szCs w:val="21"/>
                <w:lang w:val="en-US" w:eastAsia="zh-CN"/>
              </w:rPr>
              <w:t>提供有“风险与机会评价与应对策划表”，按质量、环境、安全、过程对内外部的环境进行了风险识别和评价，并制定了相应的管理措施。抽过程风险机遇识别与评价：</w:t>
            </w:r>
          </w:p>
          <w:p>
            <w:pPr>
              <w:spacing w:line="360" w:lineRule="auto"/>
              <w:ind w:firstLine="420" w:firstLineChars="200"/>
              <w:rPr>
                <w:rFonts w:hint="eastAsia"/>
                <w:sz w:val="21"/>
                <w:szCs w:val="21"/>
                <w:lang w:val="en-US" w:eastAsia="zh-CN"/>
              </w:rPr>
            </w:pPr>
            <w:r>
              <w:rPr>
                <w:rFonts w:hint="eastAsia"/>
                <w:sz w:val="21"/>
                <w:szCs w:val="21"/>
                <w:lang w:val="en-US" w:eastAsia="zh-CN"/>
              </w:rPr>
              <w:t>类别： □质量 □环境 □安全 ■过程</w:t>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ab/>
            </w:r>
            <w:r>
              <w:rPr>
                <w:rFonts w:hint="eastAsia"/>
                <w:sz w:val="21"/>
                <w:szCs w:val="21"/>
                <w:lang w:val="en-US" w:eastAsia="zh-CN"/>
              </w:rPr>
              <w:tab/>
            </w:r>
          </w:p>
          <w:tbl>
            <w:tblPr>
              <w:tblStyle w:val="10"/>
              <w:tblW w:w="9655"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6"/>
              <w:gridCol w:w="450"/>
              <w:gridCol w:w="500"/>
              <w:gridCol w:w="1891"/>
              <w:gridCol w:w="433"/>
              <w:gridCol w:w="433"/>
              <w:gridCol w:w="433"/>
              <w:gridCol w:w="433"/>
              <w:gridCol w:w="435"/>
              <w:gridCol w:w="2458"/>
              <w:gridCol w:w="666"/>
              <w:gridCol w:w="666"/>
              <w:gridCol w:w="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风险和机遇来源</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（内部/外部）</w:t>
                  </w:r>
                </w:p>
              </w:tc>
              <w:tc>
                <w:tcPr>
                  <w:tcW w:w="1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风险和机遇内容</w:t>
                  </w:r>
                </w:p>
              </w:tc>
              <w:tc>
                <w:tcPr>
                  <w:tcW w:w="21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风险分析</w:t>
                  </w:r>
                </w:p>
              </w:tc>
              <w:tc>
                <w:tcPr>
                  <w:tcW w:w="2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管理措施</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责任部门/人</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实施时间</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(开始－完成)</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评价措施有效性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bCs/>
                      <w:i w:val="0"/>
                      <w:iCs w:val="0"/>
                      <w:color w:val="000000"/>
                      <w:sz w:val="21"/>
                      <w:szCs w:val="21"/>
                      <w:u w:val="none"/>
                    </w:rPr>
                  </w:pPr>
                </w:p>
              </w:tc>
              <w:tc>
                <w:tcPr>
                  <w:tcW w:w="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bCs/>
                      <w:i w:val="0"/>
                      <w:iCs w:val="0"/>
                      <w:color w:val="000000"/>
                      <w:sz w:val="21"/>
                      <w:szCs w:val="21"/>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bCs/>
                      <w:i w:val="0"/>
                      <w:iCs w:val="0"/>
                      <w:color w:val="000000"/>
                      <w:sz w:val="21"/>
                      <w:szCs w:val="21"/>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严重程度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发生概率</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可探测性</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RPN</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风险级别</w:t>
                  </w:r>
                </w:p>
              </w:tc>
              <w:tc>
                <w:tcPr>
                  <w:tcW w:w="2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bCs/>
                      <w:i w:val="0"/>
                      <w:iCs w:val="0"/>
                      <w:color w:val="000000"/>
                      <w:sz w:val="21"/>
                      <w:szCs w:val="21"/>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bCs/>
                      <w:i w:val="0"/>
                      <w:iCs w:val="0"/>
                      <w:color w:val="000000"/>
                      <w:sz w:val="21"/>
                      <w:szCs w:val="21"/>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bCs/>
                      <w:i w:val="0"/>
                      <w:iCs w:val="0"/>
                      <w:color w:val="000000"/>
                      <w:sz w:val="21"/>
                      <w:szCs w:val="21"/>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3" w:hRule="atLeast"/>
              </w:trPr>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COP01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客户开发，合同评审过程</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1.对市场需要产品的发展趋势判断失误。                  2.客户要求识别不完整。      3.未能确保能够满足客户要求就签署合同。</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   风险</w:t>
                  </w:r>
                </w:p>
              </w:tc>
              <w:tc>
                <w:tcPr>
                  <w:tcW w:w="245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1.对市场需求产品的发展趋势分析应该经过反复论证。                  2.对客户的要求实施监视和测量。                          3.在确定与客户签署合同前落实合同评审事宜。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相关文件：《与顾客有关的过程控制程序》</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2021.06-2022.06</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COP02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产品打样</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1.制作的样品未能迎合客户的需求。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2.制作的样品未能满足本产品的大环境发展趋势。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3.产品打样周期长，跟不上市场变化</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高风险</w:t>
                  </w:r>
                </w:p>
              </w:tc>
              <w:tc>
                <w:tcPr>
                  <w:tcW w:w="245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1.新产品生产时反复论证市场需求。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2.产品时尽量选择可重复利用的材料制成产品。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3.加大生产的资源投入，缩短交货周期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2021.06-2022.06</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6" w:hRule="atLeast"/>
              </w:trPr>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COP03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生产计划</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1.计划制定不合理导致无法按时完成计划任务，从而延误产品交付</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高风险</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1.合理计算公司的实际产能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2.依据产品特点和本公司的实际产能合理安排生产计划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3.生产人员全程跟进生产计划的实现过程</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2021.06-2022.06</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 w:hRule="atLeast"/>
              </w:trPr>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COP04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生产过程</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1.生产不能准时完成计划   2.不良率过高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3.效率太低             4.产品标识不清、混料</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高风险</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1.生产计划管制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2.过程能力提前策划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3.不良率前期策划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4.标识管理要求</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2021.06-2022.06</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COP05</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产品交付</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1.不能按时交付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2.交付的产品不符合客户的要求</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   风险</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1.生产计划管制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2.生产过程的品质控制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3.成品的品质检验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4.出货前的品质检验</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2021.06-2022.06</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w:t>
                  </w:r>
                </w:p>
              </w:tc>
            </w:tr>
          </w:tbl>
          <w:p>
            <w:pPr>
              <w:pStyle w:val="9"/>
              <w:spacing w:line="360" w:lineRule="auto"/>
              <w:ind w:left="0" w:leftChars="0" w:firstLine="0" w:firstLineChars="0"/>
              <w:rPr>
                <w:rFonts w:hint="default"/>
                <w:sz w:val="21"/>
                <w:szCs w:val="21"/>
                <w:lang w:val="en-US" w:eastAsia="zh-CN"/>
              </w:rPr>
            </w:pPr>
          </w:p>
          <w:p>
            <w:pPr>
              <w:pStyle w:val="9"/>
              <w:spacing w:line="360" w:lineRule="auto"/>
              <w:ind w:left="0" w:leftChars="0" w:firstLine="0" w:firstLineChars="0"/>
              <w:rPr>
                <w:rFonts w:hint="default"/>
                <w:sz w:val="21"/>
                <w:szCs w:val="21"/>
                <w:lang w:val="en-US" w:eastAsia="zh-CN"/>
              </w:rPr>
            </w:pPr>
            <w:r>
              <w:rPr>
                <w:rFonts w:hint="eastAsia"/>
                <w:sz w:val="21"/>
                <w:szCs w:val="21"/>
                <w:lang w:val="en-US" w:eastAsia="zh-CN"/>
              </w:rPr>
              <w:t>——风险应对策划及控制基本符合</w:t>
            </w:r>
          </w:p>
          <w:p>
            <w:pPr>
              <w:pStyle w:val="9"/>
              <w:spacing w:line="360" w:lineRule="auto"/>
              <w:ind w:left="0" w:leftChars="0" w:firstLine="0" w:firstLineChars="0"/>
              <w:rPr>
                <w:rFonts w:hint="default"/>
                <w:sz w:val="21"/>
                <w:szCs w:val="21"/>
                <w:lang w:val="en-US" w:eastAsia="zh-CN"/>
              </w:rPr>
            </w:pP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cs="Arial"/>
                <w:spacing w:val="-6"/>
                <w:sz w:val="21"/>
                <w:szCs w:val="21"/>
              </w:rPr>
            </w:pPr>
            <w:r>
              <w:rPr>
                <w:rFonts w:hint="eastAsia" w:ascii="宋体" w:hAnsi="宋体" w:cs="Arial"/>
                <w:spacing w:val="-6"/>
                <w:sz w:val="21"/>
                <w:szCs w:val="21"/>
              </w:rPr>
              <w:t>质量</w:t>
            </w:r>
            <w:r>
              <w:rPr>
                <w:rFonts w:ascii="宋体" w:hAnsi="宋体" w:cs="Arial"/>
                <w:spacing w:val="-6"/>
                <w:sz w:val="21"/>
                <w:szCs w:val="21"/>
              </w:rPr>
              <w:t>/</w:t>
            </w:r>
            <w:r>
              <w:rPr>
                <w:rFonts w:hint="eastAsia" w:ascii="宋体" w:hAnsi="宋体" w:cs="Arial"/>
                <w:spacing w:val="-6"/>
                <w:sz w:val="21"/>
                <w:szCs w:val="21"/>
              </w:rPr>
              <w:t>环境</w:t>
            </w:r>
            <w:r>
              <w:rPr>
                <w:rFonts w:ascii="宋体" w:hAnsi="宋体" w:cs="Arial"/>
                <w:spacing w:val="-6"/>
                <w:sz w:val="21"/>
                <w:szCs w:val="21"/>
              </w:rPr>
              <w:t>/</w:t>
            </w:r>
            <w:r>
              <w:rPr>
                <w:rFonts w:hint="eastAsia" w:ascii="宋体" w:hAnsi="宋体" w:cs="Arial"/>
                <w:sz w:val="21"/>
                <w:szCs w:val="21"/>
              </w:rPr>
              <w:t>职业健康</w:t>
            </w:r>
            <w:r>
              <w:rPr>
                <w:rFonts w:hint="eastAsia" w:ascii="宋体" w:hAnsi="宋体" w:cs="Arial"/>
                <w:spacing w:val="-6"/>
                <w:sz w:val="21"/>
                <w:szCs w:val="21"/>
              </w:rPr>
              <w:t>安全目标及其实现的策划</w:t>
            </w:r>
          </w:p>
        </w:tc>
        <w:tc>
          <w:tcPr>
            <w:tcW w:w="960" w:type="dxa"/>
          </w:tcPr>
          <w:p>
            <w:pPr>
              <w:spacing w:line="360" w:lineRule="auto"/>
              <w:rPr>
                <w:rFonts w:hint="default"/>
                <w:sz w:val="21"/>
                <w:szCs w:val="21"/>
                <w:lang w:val="en-US"/>
              </w:rPr>
            </w:pPr>
            <w:r>
              <w:rPr>
                <w:rFonts w:hint="eastAsia"/>
                <w:sz w:val="21"/>
                <w:szCs w:val="21"/>
                <w:lang w:val="en-US" w:eastAsia="zh-CN"/>
              </w:rPr>
              <w:t>QEO6.2</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1"/>
                <w:szCs w:val="21"/>
              </w:rPr>
            </w:pPr>
            <w:r>
              <w:rPr>
                <w:rFonts w:hint="eastAsia"/>
                <w:sz w:val="21"/>
                <w:szCs w:val="21"/>
              </w:rPr>
              <w:t>公司对</w:t>
            </w:r>
            <w:r>
              <w:rPr>
                <w:rFonts w:hint="eastAsia"/>
                <w:sz w:val="21"/>
                <w:szCs w:val="21"/>
                <w:lang w:eastAsia="zh-CN"/>
              </w:rPr>
              <w:t>管理体系</w:t>
            </w:r>
            <w:r>
              <w:rPr>
                <w:rFonts w:hint="eastAsia"/>
                <w:sz w:val="21"/>
                <w:szCs w:val="21"/>
              </w:rPr>
              <w:t>所需的相关职能、层次和过程设定</w:t>
            </w:r>
            <w:r>
              <w:rPr>
                <w:rFonts w:hint="eastAsia"/>
                <w:sz w:val="21"/>
                <w:szCs w:val="21"/>
                <w:lang w:eastAsia="zh-CN"/>
              </w:rPr>
              <w:t>管理目标</w:t>
            </w:r>
            <w:r>
              <w:rPr>
                <w:rFonts w:hint="eastAsia"/>
                <w:sz w:val="21"/>
                <w:szCs w:val="21"/>
              </w:rPr>
              <w:t>。</w:t>
            </w:r>
            <w:r>
              <w:rPr>
                <w:rFonts w:hint="eastAsia"/>
                <w:sz w:val="21"/>
                <w:szCs w:val="21"/>
                <w:lang w:val="en-US" w:eastAsia="zh-CN"/>
              </w:rPr>
              <w:t>在《管理手册》中</w:t>
            </w:r>
            <w:r>
              <w:rPr>
                <w:rFonts w:hint="eastAsia"/>
                <w:sz w:val="21"/>
                <w:szCs w:val="21"/>
              </w:rPr>
              <w:t>规划公司的整体</w:t>
            </w:r>
            <w:r>
              <w:rPr>
                <w:rFonts w:hint="eastAsia"/>
                <w:sz w:val="21"/>
                <w:szCs w:val="21"/>
                <w:lang w:val="en-US" w:eastAsia="zh-CN"/>
              </w:rPr>
              <w:t>管理目标</w:t>
            </w:r>
            <w:r>
              <w:rPr>
                <w:rFonts w:hint="eastAsia"/>
                <w:sz w:val="21"/>
                <w:szCs w:val="21"/>
              </w:rPr>
              <w:t>，并以目标管理方法层层展开落实，各部门依据公司整体目标制订相应的</w:t>
            </w:r>
            <w:r>
              <w:rPr>
                <w:rFonts w:hint="eastAsia"/>
                <w:sz w:val="21"/>
                <w:szCs w:val="21"/>
                <w:lang w:val="en-US" w:eastAsia="zh-CN"/>
              </w:rPr>
              <w:t>管理目标</w:t>
            </w:r>
            <w:r>
              <w:rPr>
                <w:rFonts w:hint="eastAsia"/>
                <w:sz w:val="21"/>
                <w:szCs w:val="21"/>
              </w:rPr>
              <w:t>实施方案并统计实绩，根据每年目标达成状况，通过管理审查会议审查评估绩效并制定下一年度的目标。</w:t>
            </w:r>
          </w:p>
          <w:p>
            <w:pPr>
              <w:pStyle w:val="5"/>
              <w:keepNext w:val="0"/>
              <w:keepLines w:val="0"/>
              <w:pageBreakBefore w:val="0"/>
              <w:kinsoku/>
              <w:overflowPunct/>
              <w:topLinePunct w:val="0"/>
              <w:bidi w:val="0"/>
              <w:spacing w:line="360" w:lineRule="auto"/>
              <w:textAlignment w:val="auto"/>
              <w:rPr>
                <w:rFonts w:hint="eastAsia"/>
                <w:sz w:val="21"/>
                <w:szCs w:val="21"/>
              </w:rPr>
            </w:pPr>
            <w:r>
              <w:rPr>
                <w:rFonts w:hint="eastAsia"/>
                <w:sz w:val="21"/>
                <w:szCs w:val="21"/>
              </w:rPr>
              <w:t>1.3质量</w:t>
            </w:r>
            <w:r>
              <w:rPr>
                <w:rFonts w:hint="eastAsia"/>
                <w:sz w:val="21"/>
                <w:szCs w:val="21"/>
                <w:lang w:val="en-US" w:eastAsia="zh-CN"/>
              </w:rPr>
              <w:t>/环境/职业健康安全管理</w:t>
            </w:r>
            <w:r>
              <w:rPr>
                <w:rFonts w:hint="eastAsia"/>
                <w:sz w:val="21"/>
                <w:szCs w:val="21"/>
              </w:rPr>
              <w:t>目标</w:t>
            </w:r>
          </w:p>
          <w:p>
            <w:pPr>
              <w:pStyle w:val="5"/>
              <w:keepNext w:val="0"/>
              <w:keepLines w:val="0"/>
              <w:pageBreakBefore w:val="0"/>
              <w:kinsoku/>
              <w:overflowPunct/>
              <w:topLinePunct w:val="0"/>
              <w:bidi w:val="0"/>
              <w:spacing w:line="360" w:lineRule="auto"/>
              <w:textAlignment w:val="auto"/>
              <w:rPr>
                <w:rFonts w:hint="eastAsia"/>
                <w:sz w:val="21"/>
                <w:szCs w:val="21"/>
              </w:rPr>
            </w:pPr>
            <w:r>
              <w:rPr>
                <w:rFonts w:hint="eastAsia"/>
                <w:sz w:val="21"/>
                <w:szCs w:val="21"/>
              </w:rPr>
              <w:t>1.3.1 全公司的质量目标:</w:t>
            </w:r>
          </w:p>
          <w:p>
            <w:pPr>
              <w:keepNext w:val="0"/>
              <w:keepLines w:val="0"/>
              <w:pageBreakBefore w:val="0"/>
              <w:widowControl/>
              <w:numPr>
                <w:ilvl w:val="0"/>
                <w:numId w:val="0"/>
              </w:numPr>
              <w:kinsoku/>
              <w:overflowPunct/>
              <w:topLinePunct w:val="0"/>
              <w:bidi w:val="0"/>
              <w:spacing w:line="360" w:lineRule="auto"/>
              <w:ind w:firstLine="420" w:firstLineChars="200"/>
              <w:jc w:val="both"/>
              <w:textAlignment w:val="auto"/>
              <w:rPr>
                <w:rFonts w:hint="eastAsia"/>
                <w:sz w:val="21"/>
                <w:szCs w:val="21"/>
              </w:rPr>
            </w:pPr>
            <w:r>
              <w:rPr>
                <w:rFonts w:hint="eastAsia"/>
                <w:sz w:val="21"/>
                <w:szCs w:val="21"/>
                <w:lang w:val="en-US" w:eastAsia="zh-CN"/>
              </w:rPr>
              <w:t>1、</w:t>
            </w:r>
            <w:r>
              <w:rPr>
                <w:rFonts w:hint="eastAsia"/>
                <w:sz w:val="21"/>
                <w:szCs w:val="21"/>
              </w:rPr>
              <w:t>产品出厂合格率</w:t>
            </w:r>
            <w:r>
              <w:rPr>
                <w:rFonts w:hint="eastAsia"/>
                <w:sz w:val="21"/>
                <w:szCs w:val="21"/>
                <w:lang w:val="en-US" w:eastAsia="zh-CN"/>
              </w:rPr>
              <w:t>100</w:t>
            </w:r>
            <w:r>
              <w:rPr>
                <w:rFonts w:hint="eastAsia"/>
                <w:sz w:val="21"/>
                <w:szCs w:val="21"/>
              </w:rPr>
              <w:t>%；</w:t>
            </w:r>
          </w:p>
          <w:p>
            <w:pPr>
              <w:pStyle w:val="4"/>
              <w:keepNext w:val="0"/>
              <w:keepLines w:val="0"/>
              <w:pageBreakBefore w:val="0"/>
              <w:kinsoku/>
              <w:overflowPunct/>
              <w:topLinePunct w:val="0"/>
              <w:bidi w:val="0"/>
              <w:spacing w:line="360" w:lineRule="auto"/>
              <w:ind w:left="0" w:leftChars="0" w:firstLine="420" w:firstLineChars="200"/>
              <w:textAlignment w:val="auto"/>
              <w:rPr>
                <w:rFonts w:hint="eastAsia"/>
                <w:sz w:val="21"/>
                <w:szCs w:val="21"/>
                <w:lang w:eastAsia="zh-CN"/>
              </w:rPr>
            </w:pPr>
            <w:r>
              <w:rPr>
                <w:rFonts w:hint="eastAsia"/>
                <w:sz w:val="21"/>
                <w:szCs w:val="21"/>
                <w:lang w:val="en-US" w:eastAsia="zh-CN"/>
              </w:rPr>
              <w:t>2</w:t>
            </w:r>
            <w:r>
              <w:rPr>
                <w:rFonts w:hint="eastAsia"/>
                <w:sz w:val="21"/>
                <w:szCs w:val="21"/>
              </w:rPr>
              <w:t>、顾客满意度≥90 分</w:t>
            </w:r>
            <w:r>
              <w:rPr>
                <w:rFonts w:hint="eastAsia"/>
                <w:sz w:val="21"/>
                <w:szCs w:val="21"/>
                <w:lang w:eastAsia="zh-CN"/>
              </w:rPr>
              <w:t>。</w:t>
            </w:r>
          </w:p>
          <w:p>
            <w:pPr>
              <w:keepNext w:val="0"/>
              <w:keepLines w:val="0"/>
              <w:pageBreakBefore w:val="0"/>
              <w:widowControl/>
              <w:numPr>
                <w:ilvl w:val="0"/>
                <w:numId w:val="0"/>
              </w:numPr>
              <w:kinsoku/>
              <w:overflowPunct/>
              <w:topLinePunct w:val="0"/>
              <w:bidi w:val="0"/>
              <w:spacing w:line="360" w:lineRule="auto"/>
              <w:jc w:val="both"/>
              <w:textAlignment w:val="auto"/>
              <w:rPr>
                <w:rFonts w:hint="eastAsia"/>
                <w:sz w:val="21"/>
                <w:szCs w:val="21"/>
              </w:rPr>
            </w:pPr>
            <w:r>
              <w:rPr>
                <w:rFonts w:hint="eastAsia"/>
                <w:sz w:val="21"/>
                <w:szCs w:val="21"/>
              </w:rPr>
              <w:t>1.3.2</w:t>
            </w:r>
            <w:r>
              <w:rPr>
                <w:rFonts w:hint="eastAsia"/>
                <w:sz w:val="21"/>
                <w:szCs w:val="21"/>
                <w:lang w:val="en-US" w:eastAsia="zh-CN"/>
              </w:rPr>
              <w:t xml:space="preserve"> </w:t>
            </w:r>
            <w:r>
              <w:rPr>
                <w:rFonts w:hint="eastAsia"/>
                <w:sz w:val="21"/>
                <w:szCs w:val="21"/>
              </w:rPr>
              <w:t>公司职业健康安全环境管理的战略目标：</w:t>
            </w:r>
          </w:p>
          <w:p>
            <w:pPr>
              <w:keepNext w:val="0"/>
              <w:keepLines w:val="0"/>
              <w:pageBreakBefore w:val="0"/>
              <w:widowControl/>
              <w:numPr>
                <w:ilvl w:val="0"/>
                <w:numId w:val="0"/>
              </w:numPr>
              <w:kinsoku/>
              <w:overflowPunct/>
              <w:topLinePunct w:val="0"/>
              <w:bidi w:val="0"/>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1、废水/废气/噪声达标排放（达标100%）</w:t>
            </w:r>
            <w:r>
              <w:rPr>
                <w:rFonts w:hint="eastAsia"/>
                <w:sz w:val="21"/>
                <w:szCs w:val="21"/>
                <w:lang w:eastAsia="zh-CN"/>
              </w:rPr>
              <w:t>；</w:t>
            </w:r>
          </w:p>
          <w:p>
            <w:pPr>
              <w:keepNext w:val="0"/>
              <w:keepLines w:val="0"/>
              <w:pageBreakBefore w:val="0"/>
              <w:widowControl/>
              <w:numPr>
                <w:ilvl w:val="0"/>
                <w:numId w:val="0"/>
              </w:numPr>
              <w:kinsoku/>
              <w:overflowPunct/>
              <w:topLinePunct w:val="0"/>
              <w:bidi w:val="0"/>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2、</w:t>
            </w:r>
            <w:r>
              <w:rPr>
                <w:rFonts w:hint="eastAsia"/>
                <w:sz w:val="21"/>
                <w:szCs w:val="21"/>
                <w:lang w:eastAsia="zh-CN"/>
              </w:rPr>
              <w:t>生产</w:t>
            </w:r>
            <w:r>
              <w:rPr>
                <w:rFonts w:hint="eastAsia"/>
                <w:sz w:val="21"/>
                <w:szCs w:val="21"/>
              </w:rPr>
              <w:t>、生活废弃物分类收集处理率100%</w:t>
            </w:r>
            <w:r>
              <w:rPr>
                <w:rFonts w:hint="eastAsia"/>
                <w:sz w:val="21"/>
                <w:szCs w:val="21"/>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sz w:val="21"/>
                <w:szCs w:val="21"/>
                <w:lang w:val="en-US" w:eastAsia="zh-CN"/>
              </w:rPr>
            </w:pPr>
            <w:r>
              <w:rPr>
                <w:rFonts w:hint="eastAsia"/>
                <w:sz w:val="21"/>
                <w:szCs w:val="21"/>
                <w:lang w:val="en-US" w:eastAsia="zh-CN"/>
              </w:rPr>
              <w:t>3、触电事故为0；</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sz w:val="21"/>
                <w:szCs w:val="21"/>
                <w:lang w:eastAsia="zh-CN"/>
              </w:rPr>
            </w:pPr>
            <w:r>
              <w:rPr>
                <w:rFonts w:hint="eastAsia"/>
                <w:sz w:val="21"/>
                <w:szCs w:val="21"/>
                <w:lang w:val="en-US" w:eastAsia="zh-CN"/>
              </w:rPr>
              <w:t>4</w:t>
            </w:r>
            <w:r>
              <w:rPr>
                <w:rFonts w:hint="eastAsia"/>
                <w:sz w:val="21"/>
                <w:szCs w:val="21"/>
                <w:lang w:eastAsia="zh-CN"/>
              </w:rPr>
              <w:t>、</w:t>
            </w:r>
            <w:r>
              <w:rPr>
                <w:rFonts w:hint="eastAsia"/>
                <w:sz w:val="21"/>
                <w:szCs w:val="21"/>
              </w:rPr>
              <w:t>机械伤害为0</w:t>
            </w:r>
            <w:r>
              <w:rPr>
                <w:rFonts w:hint="eastAsia"/>
                <w:sz w:val="21"/>
                <w:szCs w:val="21"/>
                <w:lang w:eastAsia="zh-CN"/>
              </w:rPr>
              <w:t>；</w:t>
            </w:r>
          </w:p>
          <w:p>
            <w:pPr>
              <w:spacing w:line="360" w:lineRule="auto"/>
              <w:ind w:firstLine="420" w:firstLineChars="200"/>
              <w:rPr>
                <w:rFonts w:hint="eastAsia"/>
                <w:sz w:val="21"/>
                <w:szCs w:val="21"/>
                <w:lang w:val="en-US" w:eastAsia="zh-CN"/>
              </w:rPr>
            </w:pPr>
            <w:r>
              <w:rPr>
                <w:rFonts w:hint="eastAsia"/>
                <w:sz w:val="21"/>
                <w:szCs w:val="21"/>
                <w:lang w:val="en-US" w:eastAsia="zh-CN"/>
              </w:rPr>
              <w:t>5、火灾事故为0。</w:t>
            </w:r>
          </w:p>
          <w:p>
            <w:pPr>
              <w:pStyle w:val="2"/>
              <w:spacing w:line="360" w:lineRule="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目标可测量，与公司</w:t>
            </w:r>
            <w:r>
              <w:rPr>
                <w:rFonts w:hint="eastAsia" w:ascii="宋体" w:hAnsi="宋体" w:cs="宋体"/>
                <w:color w:val="auto"/>
                <w:sz w:val="21"/>
                <w:szCs w:val="21"/>
                <w:lang w:val="en-US" w:eastAsia="zh-CN"/>
              </w:rPr>
              <w:t>管理</w:t>
            </w:r>
            <w:r>
              <w:rPr>
                <w:rFonts w:hint="eastAsia" w:ascii="宋体" w:hAnsi="宋体" w:eastAsia="宋体" w:cs="宋体"/>
                <w:color w:val="auto"/>
                <w:sz w:val="21"/>
                <w:szCs w:val="21"/>
                <w:lang w:val="en-US" w:eastAsia="zh-CN"/>
              </w:rPr>
              <w:t>方针一致。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由</w:t>
            </w:r>
            <w:r>
              <w:rPr>
                <w:rFonts w:hint="eastAsia" w:ascii="宋体" w:hAnsi="宋体" w:cs="宋体"/>
                <w:sz w:val="21"/>
                <w:szCs w:val="21"/>
                <w:lang w:val="en-US" w:eastAsia="zh-CN"/>
              </w:rPr>
              <w:t>综合管理部部</w:t>
            </w:r>
            <w:r>
              <w:rPr>
                <w:rFonts w:hint="eastAsia" w:ascii="宋体" w:hAnsi="宋体" w:eastAsia="宋体" w:cs="宋体"/>
                <w:sz w:val="21"/>
                <w:szCs w:val="21"/>
                <w:lang w:val="en-US" w:eastAsia="zh-CN"/>
              </w:rPr>
              <w:t>按公司</w:t>
            </w:r>
            <w:r>
              <w:rPr>
                <w:rFonts w:hint="eastAsia" w:ascii="宋体" w:hAnsi="宋体" w:cs="宋体"/>
                <w:sz w:val="21"/>
                <w:szCs w:val="21"/>
                <w:lang w:val="en-US" w:eastAsia="zh-CN"/>
              </w:rPr>
              <w:t>管理目标</w:t>
            </w:r>
            <w:r>
              <w:rPr>
                <w:rFonts w:hint="eastAsia" w:ascii="宋体" w:hAnsi="宋体" w:eastAsia="宋体" w:cs="宋体"/>
                <w:sz w:val="21"/>
                <w:szCs w:val="21"/>
                <w:lang w:val="en-US" w:eastAsia="zh-CN"/>
              </w:rPr>
              <w:t>考核要求统计考核</w:t>
            </w:r>
            <w:r>
              <w:rPr>
                <w:rFonts w:hint="eastAsia" w:ascii="宋体" w:hAnsi="宋体" w:eastAsia="宋体" w:cs="宋体"/>
                <w:sz w:val="21"/>
                <w:szCs w:val="21"/>
              </w:rPr>
              <w:t>公司</w:t>
            </w:r>
            <w:r>
              <w:rPr>
                <w:rFonts w:hint="eastAsia" w:ascii="宋体" w:hAnsi="宋体" w:cs="宋体"/>
                <w:sz w:val="21"/>
                <w:szCs w:val="21"/>
                <w:lang w:eastAsia="zh-CN"/>
              </w:rPr>
              <w:t>管理目标</w:t>
            </w:r>
            <w:r>
              <w:rPr>
                <w:rFonts w:hint="eastAsia" w:ascii="宋体" w:hAnsi="宋体" w:eastAsia="宋体" w:cs="宋体"/>
                <w:sz w:val="21"/>
                <w:szCs w:val="21"/>
                <w:lang w:val="en-US" w:eastAsia="zh-CN"/>
              </w:rPr>
              <w:t>完成情况</w:t>
            </w:r>
            <w:r>
              <w:rPr>
                <w:rFonts w:hint="eastAsia" w:ascii="宋体" w:hAnsi="宋体" w:eastAsia="宋体" w:cs="宋体"/>
                <w:sz w:val="21"/>
                <w:szCs w:val="21"/>
              </w:rPr>
              <w:t>，提交管理评审会议。</w:t>
            </w:r>
          </w:p>
          <w:p>
            <w:pPr>
              <w:tabs>
                <w:tab w:val="left" w:pos="2490"/>
              </w:tabs>
              <w:spacing w:line="360" w:lineRule="auto"/>
              <w:ind w:left="630" w:leftChars="200" w:hanging="210" w:hangingChars="100"/>
              <w:jc w:val="both"/>
              <w:rPr>
                <w:rFonts w:hint="default"/>
                <w:color w:val="auto"/>
                <w:sz w:val="21"/>
                <w:szCs w:val="21"/>
                <w:lang w:val="en-US"/>
              </w:rPr>
            </w:pPr>
            <w:r>
              <w:rPr>
                <w:rFonts w:hint="eastAsia" w:ascii="宋体" w:hAnsi="宋体" w:eastAsia="宋体" w:cs="宋体"/>
                <w:sz w:val="21"/>
                <w:szCs w:val="21"/>
                <w:lang w:val="en-US" w:eastAsia="zh-CN"/>
              </w:rPr>
              <w:t>提供有“2021年度指标分解及月度汇总”，内容显示2021年6-11月，公司</w:t>
            </w:r>
            <w:r>
              <w:rPr>
                <w:rFonts w:hint="eastAsia" w:ascii="宋体" w:hAnsi="宋体" w:cs="宋体"/>
                <w:sz w:val="21"/>
                <w:szCs w:val="21"/>
                <w:lang w:val="en-US" w:eastAsia="zh-CN"/>
              </w:rPr>
              <w:t>及部门</w:t>
            </w:r>
            <w:r>
              <w:rPr>
                <w:rFonts w:hint="eastAsia" w:ascii="宋体" w:hAnsi="宋体" w:eastAsia="宋体" w:cs="宋体"/>
                <w:sz w:val="21"/>
                <w:szCs w:val="21"/>
                <w:lang w:val="en-US" w:eastAsia="zh-CN"/>
              </w:rPr>
              <w:t>各项目标均已完成，</w:t>
            </w:r>
            <w:r>
              <w:rPr>
                <w:rFonts w:hint="eastAsia"/>
                <w:sz w:val="21"/>
                <w:szCs w:val="21"/>
                <w:lang w:val="en-US" w:eastAsia="zh-CN"/>
              </w:rPr>
              <w:t>编制：孙立民；审批：杨凡；2021.12.02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p>
          <w:p>
            <w:pPr>
              <w:pStyle w:val="2"/>
              <w:spacing w:line="360" w:lineRule="auto"/>
              <w:ind w:firstLine="460" w:firstLineChars="200"/>
              <w:rPr>
                <w:rFonts w:hint="eastAsia"/>
                <w:sz w:val="21"/>
                <w:szCs w:val="21"/>
                <w:lang w:val="en-US" w:eastAsia="zh-CN"/>
              </w:rPr>
            </w:pPr>
            <w:r>
              <w:rPr>
                <w:rFonts w:hint="eastAsia" w:ascii="宋体" w:hAnsi="宋体" w:cs="宋体"/>
                <w:sz w:val="21"/>
                <w:szCs w:val="21"/>
                <w:lang w:val="en-US" w:eastAsia="zh-CN"/>
              </w:rPr>
              <w:t>针对重要环境因素、不可接受风险制订了管理方案并予以实施，基本有效，详见具体职能部门该条款审核记录。</w:t>
            </w:r>
          </w:p>
          <w:p>
            <w:pPr>
              <w:pStyle w:val="9"/>
              <w:spacing w:line="360" w:lineRule="auto"/>
              <w:ind w:left="0" w:leftChars="0" w:firstLine="0" w:firstLineChars="0"/>
              <w:rPr>
                <w:rFonts w:hint="default" w:eastAsia="宋体"/>
                <w:sz w:val="21"/>
                <w:szCs w:val="21"/>
                <w:lang w:val="en-US" w:eastAsia="zh-CN"/>
              </w:rPr>
            </w:pPr>
            <w:r>
              <w:rPr>
                <w:rFonts w:hint="eastAsia"/>
                <w:sz w:val="21"/>
                <w:szCs w:val="21"/>
                <w:lang w:eastAsia="zh-CN"/>
              </w:rPr>
              <w:t>——</w:t>
            </w:r>
            <w:r>
              <w:rPr>
                <w:rFonts w:hint="eastAsia"/>
                <w:sz w:val="21"/>
                <w:szCs w:val="21"/>
                <w:lang w:val="en-US" w:eastAsia="zh-CN"/>
              </w:rPr>
              <w:t>控制基本符合</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cs="Arial"/>
                <w:spacing w:val="-6"/>
                <w:sz w:val="21"/>
                <w:szCs w:val="21"/>
              </w:rPr>
            </w:pPr>
            <w:r>
              <w:rPr>
                <w:rFonts w:hint="eastAsia" w:ascii="宋体" w:hAnsi="宋体" w:cs="Arial"/>
                <w:spacing w:val="-6"/>
                <w:sz w:val="21"/>
                <w:szCs w:val="21"/>
              </w:rPr>
              <w:t>变更的策划</w:t>
            </w:r>
          </w:p>
        </w:tc>
        <w:tc>
          <w:tcPr>
            <w:tcW w:w="960" w:type="dxa"/>
          </w:tcPr>
          <w:p>
            <w:pPr>
              <w:spacing w:line="360" w:lineRule="auto"/>
              <w:rPr>
                <w:rFonts w:hint="default" w:eastAsia="宋体"/>
                <w:sz w:val="21"/>
                <w:szCs w:val="21"/>
                <w:lang w:val="en-US" w:eastAsia="zh-CN"/>
              </w:rPr>
            </w:pPr>
            <w:r>
              <w:rPr>
                <w:rFonts w:hint="eastAsia"/>
                <w:sz w:val="21"/>
                <w:szCs w:val="21"/>
                <w:lang w:val="en-US" w:eastAsia="zh-CN"/>
              </w:rPr>
              <w:t>Q6.3</w:t>
            </w:r>
          </w:p>
        </w:tc>
        <w:tc>
          <w:tcPr>
            <w:tcW w:w="10004" w:type="dxa"/>
          </w:tcPr>
          <w:p>
            <w:pPr>
              <w:spacing w:line="360" w:lineRule="auto"/>
              <w:ind w:firstLine="420" w:firstLineChars="200"/>
              <w:rPr>
                <w:rFonts w:hint="default" w:eastAsia="宋体"/>
                <w:sz w:val="21"/>
                <w:szCs w:val="21"/>
                <w:lang w:val="en-US" w:eastAsia="zh-CN"/>
              </w:rPr>
            </w:pPr>
            <w:r>
              <w:rPr>
                <w:rFonts w:hint="eastAsia"/>
                <w:sz w:val="21"/>
                <w:szCs w:val="21"/>
                <w:lang w:val="en-US" w:eastAsia="zh-CN"/>
              </w:rPr>
              <w:t>负责人介绍，贯标期内未发生变更。</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cs="Arial"/>
                <w:spacing w:val="-6"/>
                <w:sz w:val="21"/>
                <w:szCs w:val="21"/>
              </w:rPr>
            </w:pPr>
            <w:r>
              <w:rPr>
                <w:rFonts w:hint="eastAsia" w:ascii="宋体" w:hAnsi="宋体" w:cs="Arial"/>
                <w:spacing w:val="-6"/>
                <w:sz w:val="21"/>
                <w:szCs w:val="21"/>
              </w:rPr>
              <w:t>资源总则</w:t>
            </w:r>
          </w:p>
        </w:tc>
        <w:tc>
          <w:tcPr>
            <w:tcW w:w="960" w:type="dxa"/>
          </w:tcPr>
          <w:p>
            <w:pPr>
              <w:spacing w:line="360" w:lineRule="auto"/>
              <w:rPr>
                <w:rFonts w:hint="default" w:eastAsia="宋体"/>
                <w:sz w:val="21"/>
                <w:szCs w:val="21"/>
                <w:lang w:val="en-US" w:eastAsia="zh-CN"/>
              </w:rPr>
            </w:pPr>
            <w:r>
              <w:rPr>
                <w:rFonts w:hint="eastAsia"/>
                <w:sz w:val="21"/>
                <w:szCs w:val="21"/>
                <w:lang w:val="en-US" w:eastAsia="zh-CN"/>
              </w:rPr>
              <w:t>Q7.1.1/EO7.1</w:t>
            </w:r>
          </w:p>
        </w:tc>
        <w:tc>
          <w:tcPr>
            <w:tcW w:w="10004" w:type="dxa"/>
          </w:tcPr>
          <w:p>
            <w:pPr>
              <w:pStyle w:val="16"/>
              <w:spacing w:line="360" w:lineRule="auto"/>
              <w:ind w:firstLine="420" w:firstLineChars="200"/>
              <w:rPr>
                <w:rFonts w:ascii="Times New Roman" w:hAnsi="Times New Roman"/>
                <w:sz w:val="21"/>
                <w:szCs w:val="21"/>
              </w:rPr>
            </w:pPr>
            <w:r>
              <w:rPr>
                <w:rFonts w:hint="eastAsia" w:ascii="Times New Roman" w:hAnsi="Times New Roman"/>
                <w:sz w:val="21"/>
                <w:szCs w:val="21"/>
              </w:rPr>
              <w:t>企业现状资源概况：</w:t>
            </w:r>
          </w:p>
          <w:p>
            <w:pPr>
              <w:pStyle w:val="16"/>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sz w:val="21"/>
                <w:szCs w:val="21"/>
              </w:rPr>
              <w:t>1、基础设施方面：公司厂房为自有产权，共计</w:t>
            </w:r>
            <w:r>
              <w:rPr>
                <w:rFonts w:hint="eastAsia" w:ascii="Times New Roman" w:hAnsi="Times New Roman"/>
                <w:sz w:val="21"/>
                <w:szCs w:val="21"/>
                <w:lang w:val="en-US" w:eastAsia="zh-CN"/>
              </w:rPr>
              <w:t>7075</w:t>
            </w:r>
            <w:r>
              <w:rPr>
                <w:rFonts w:hint="eastAsia" w:ascii="Times New Roman" w:hAnsi="Times New Roman"/>
                <w:sz w:val="21"/>
                <w:szCs w:val="21"/>
              </w:rPr>
              <w:t>平，办公场所约</w:t>
            </w:r>
            <w:r>
              <w:rPr>
                <w:rFonts w:hint="eastAsia" w:ascii="Times New Roman" w:hAnsi="Times New Roman"/>
                <w:sz w:val="21"/>
                <w:szCs w:val="21"/>
                <w:lang w:val="en-US" w:eastAsia="zh-CN"/>
              </w:rPr>
              <w:t>2000</w:t>
            </w:r>
            <w:r>
              <w:rPr>
                <w:rFonts w:hint="eastAsia" w:ascii="Times New Roman" w:hAnsi="Times New Roman"/>
                <w:sz w:val="21"/>
                <w:szCs w:val="21"/>
              </w:rPr>
              <w:t>平，生产车间约</w:t>
            </w:r>
            <w:r>
              <w:rPr>
                <w:rFonts w:hint="eastAsia" w:ascii="Times New Roman" w:hAnsi="Times New Roman"/>
                <w:sz w:val="21"/>
                <w:szCs w:val="21"/>
                <w:lang w:val="en-US" w:eastAsia="zh-CN"/>
              </w:rPr>
              <w:t>5</w:t>
            </w:r>
            <w:r>
              <w:rPr>
                <w:rFonts w:hint="eastAsia" w:ascii="Times New Roman" w:hAnsi="Times New Roman"/>
                <w:sz w:val="21"/>
                <w:szCs w:val="21"/>
              </w:rPr>
              <w:t>000平米，按照</w:t>
            </w:r>
            <w:r>
              <w:rPr>
                <w:rFonts w:hint="eastAsia" w:ascii="Times New Roman" w:hAnsi="Times New Roman"/>
                <w:sz w:val="21"/>
                <w:szCs w:val="21"/>
                <w:lang w:val="en-US" w:eastAsia="zh-CN"/>
              </w:rPr>
              <w:t>冷拔工艺和油淬火工艺的区别</w:t>
            </w:r>
            <w:r>
              <w:rPr>
                <w:rFonts w:hint="eastAsia" w:ascii="Times New Roman" w:hAnsi="Times New Roman"/>
                <w:sz w:val="21"/>
                <w:szCs w:val="21"/>
              </w:rPr>
              <w:t>设置有不同作业区域，并现场设置有原材料存放区、半成品存放区、成品存放区等功能区域</w:t>
            </w:r>
            <w:r>
              <w:rPr>
                <w:rFonts w:hint="eastAsia" w:ascii="Times New Roman" w:hAnsi="Times New Roman"/>
                <w:sz w:val="21"/>
                <w:szCs w:val="21"/>
                <w:lang w:eastAsia="zh-CN"/>
              </w:rPr>
              <w:t>；</w:t>
            </w:r>
            <w:r>
              <w:rPr>
                <w:rFonts w:hint="eastAsia" w:ascii="Times New Roman" w:hAnsi="Times New Roman"/>
                <w:sz w:val="21"/>
                <w:szCs w:val="21"/>
              </w:rPr>
              <w:t>车间配置有</w:t>
            </w:r>
            <w:r>
              <w:rPr>
                <w:rFonts w:hint="eastAsia" w:ascii="宋体" w:hAnsi="宋体" w:eastAsia="宋体" w:cs="宋体"/>
                <w:sz w:val="21"/>
                <w:szCs w:val="21"/>
                <w:lang w:val="en-US" w:eastAsia="zh-CN"/>
              </w:rPr>
              <w:t>冷拔丝生产设备十套，油淬火弹簧钢丝生产线3条</w:t>
            </w:r>
            <w:r>
              <w:rPr>
                <w:rFonts w:hint="eastAsia" w:ascii="Times New Roman" w:hAnsi="Times New Roman"/>
                <w:sz w:val="21"/>
                <w:szCs w:val="21"/>
              </w:rPr>
              <w:t>等生产设备；年产品</w:t>
            </w:r>
            <w:r>
              <w:rPr>
                <w:rFonts w:hint="eastAsia" w:ascii="Times New Roman" w:hAnsi="Times New Roman"/>
                <w:sz w:val="21"/>
                <w:szCs w:val="21"/>
                <w:lang w:val="en-US" w:eastAsia="zh-CN"/>
              </w:rPr>
              <w:t>满负荷</w:t>
            </w:r>
            <w:r>
              <w:rPr>
                <w:rFonts w:hint="eastAsia" w:ascii="Times New Roman" w:hAnsi="Times New Roman"/>
                <w:sz w:val="21"/>
                <w:szCs w:val="21"/>
              </w:rPr>
              <w:t>规模达</w:t>
            </w:r>
            <w:r>
              <w:rPr>
                <w:rFonts w:hint="eastAsia" w:ascii="Times New Roman" w:hAnsi="Times New Roman"/>
                <w:sz w:val="21"/>
                <w:szCs w:val="21"/>
                <w:lang w:val="en-US" w:eastAsia="zh-CN"/>
              </w:rPr>
              <w:t>30000</w:t>
            </w:r>
            <w:r>
              <w:rPr>
                <w:rFonts w:hint="eastAsia" w:ascii="Times New Roman" w:hAnsi="Times New Roman"/>
                <w:sz w:val="21"/>
                <w:szCs w:val="21"/>
              </w:rPr>
              <w:t>万</w:t>
            </w:r>
            <w:r>
              <w:rPr>
                <w:rFonts w:hint="eastAsia" w:ascii="Times New Roman" w:hAnsi="Times New Roman"/>
                <w:sz w:val="21"/>
                <w:szCs w:val="21"/>
                <w:lang w:val="en-US" w:eastAsia="zh-CN"/>
              </w:rPr>
              <w:t>吨</w:t>
            </w:r>
            <w:r>
              <w:rPr>
                <w:rFonts w:hint="eastAsia" w:ascii="Times New Roman" w:hAnsi="Times New Roman"/>
                <w:sz w:val="21"/>
                <w:szCs w:val="21"/>
              </w:rPr>
              <w:t>。办公室配有办公活动所需的设备、设施及相关的管理文件等。经专业审核员确认，资源配备能满足公司目前的</w:t>
            </w:r>
            <w:r>
              <w:rPr>
                <w:sz w:val="21"/>
                <w:szCs w:val="21"/>
              </w:rPr>
              <w:t>弹簧钢丝的</w:t>
            </w:r>
            <w:r>
              <w:rPr>
                <w:rFonts w:hint="eastAsia" w:ascii="Times New Roman" w:hAnsi="Times New Roman"/>
                <w:sz w:val="21"/>
                <w:szCs w:val="21"/>
              </w:rPr>
              <w:t>生产</w:t>
            </w:r>
            <w:r>
              <w:rPr>
                <w:rFonts w:hint="eastAsia" w:ascii="Times New Roman" w:hAnsi="Times New Roman"/>
                <w:sz w:val="21"/>
                <w:szCs w:val="21"/>
                <w:lang w:val="en-US" w:eastAsia="zh-CN"/>
              </w:rPr>
              <w:t>经营</w:t>
            </w:r>
            <w:r>
              <w:rPr>
                <w:rFonts w:hint="eastAsia" w:ascii="Times New Roman" w:hAnsi="Times New Roman"/>
                <w:sz w:val="21"/>
                <w:szCs w:val="21"/>
              </w:rPr>
              <w:t>业务活动的需要。</w:t>
            </w:r>
          </w:p>
          <w:p>
            <w:pPr>
              <w:pStyle w:val="16"/>
              <w:spacing w:line="360" w:lineRule="auto"/>
              <w:ind w:firstLine="420" w:firstLineChars="200"/>
              <w:rPr>
                <w:rFonts w:ascii="Times New Roman" w:hAnsi="Times New Roman"/>
                <w:sz w:val="21"/>
                <w:szCs w:val="21"/>
              </w:rPr>
            </w:pPr>
            <w:r>
              <w:rPr>
                <w:rFonts w:hint="eastAsia" w:ascii="Times New Roman" w:hAnsi="Times New Roman"/>
                <w:sz w:val="21"/>
                <w:szCs w:val="21"/>
              </w:rPr>
              <w:t>2、人力资源：现有员工</w:t>
            </w:r>
            <w:r>
              <w:rPr>
                <w:rFonts w:ascii="Times New Roman" w:hAnsi="Times New Roman"/>
                <w:sz w:val="21"/>
                <w:szCs w:val="21"/>
              </w:rPr>
              <w:t>40</w:t>
            </w:r>
            <w:r>
              <w:rPr>
                <w:rFonts w:hint="eastAsia" w:ascii="Times New Roman" w:hAnsi="Times New Roman"/>
                <w:sz w:val="21"/>
                <w:szCs w:val="21"/>
              </w:rPr>
              <w:t>人，其中重要岗位例如生产部</w:t>
            </w:r>
            <w:r>
              <w:rPr>
                <w:rFonts w:hint="eastAsia" w:ascii="Times New Roman" w:hAnsi="Times New Roman"/>
                <w:sz w:val="21"/>
                <w:szCs w:val="21"/>
                <w:lang w:val="en-US" w:eastAsia="zh-CN"/>
              </w:rPr>
              <w:t>经理</w:t>
            </w:r>
            <w:r>
              <w:rPr>
                <w:rFonts w:hint="eastAsia" w:ascii="Times New Roman" w:hAnsi="Times New Roman"/>
                <w:sz w:val="21"/>
                <w:szCs w:val="21"/>
              </w:rPr>
              <w:t>、</w:t>
            </w:r>
            <w:r>
              <w:rPr>
                <w:rFonts w:hint="eastAsia" w:ascii="Times New Roman" w:hAnsi="Times New Roman"/>
                <w:sz w:val="21"/>
                <w:szCs w:val="21"/>
                <w:lang w:val="en-US" w:eastAsia="zh-CN"/>
              </w:rPr>
              <w:t>综合</w:t>
            </w:r>
            <w:r>
              <w:rPr>
                <w:rFonts w:hint="eastAsia" w:ascii="Times New Roman" w:hAnsi="Times New Roman"/>
                <w:sz w:val="21"/>
                <w:szCs w:val="21"/>
              </w:rPr>
              <w:t>部</w:t>
            </w:r>
            <w:r>
              <w:rPr>
                <w:rFonts w:hint="eastAsia" w:ascii="Times New Roman" w:hAnsi="Times New Roman"/>
                <w:sz w:val="21"/>
                <w:szCs w:val="21"/>
                <w:lang w:val="en-US" w:eastAsia="zh-CN"/>
              </w:rPr>
              <w:t>经理</w:t>
            </w:r>
            <w:r>
              <w:rPr>
                <w:rFonts w:hint="eastAsia" w:ascii="Times New Roman" w:hAnsi="Times New Roman"/>
                <w:sz w:val="21"/>
                <w:szCs w:val="21"/>
              </w:rPr>
              <w:t>等岗位人员具有丰富的行业经验，审核过程中发现各岗位人员对本职岗位职责、专业技能要求等均充分了解，并能有效胜任。人力资源配备基本满足公司经营现状以及关键重要岗位作业资质要求。</w:t>
            </w:r>
          </w:p>
          <w:p>
            <w:pPr>
              <w:pStyle w:val="16"/>
              <w:spacing w:line="360" w:lineRule="auto"/>
              <w:ind w:firstLine="420" w:firstLineChars="200"/>
              <w:rPr>
                <w:rFonts w:ascii="Times New Roman" w:hAnsi="Times New Roman"/>
                <w:sz w:val="21"/>
                <w:szCs w:val="21"/>
                <w:highlight w:val="none"/>
              </w:rPr>
            </w:pPr>
            <w:r>
              <w:rPr>
                <w:rFonts w:hint="eastAsia" w:ascii="Times New Roman" w:hAnsi="Times New Roman"/>
                <w:sz w:val="21"/>
                <w:szCs w:val="21"/>
                <w:highlight w:val="none"/>
              </w:rPr>
              <w:t>3、体系运行至今，环保安全投入</w:t>
            </w:r>
            <w:r>
              <w:rPr>
                <w:rFonts w:hint="eastAsia" w:ascii="Times New Roman" w:hAnsi="Times New Roman"/>
                <w:sz w:val="21"/>
                <w:szCs w:val="21"/>
                <w:highlight w:val="none"/>
                <w:lang w:val="en-US" w:eastAsia="zh-CN"/>
              </w:rPr>
              <w:t>2.89</w:t>
            </w:r>
            <w:r>
              <w:rPr>
                <w:rFonts w:hint="eastAsia" w:ascii="Times New Roman" w:hAnsi="Times New Roman"/>
                <w:sz w:val="21"/>
                <w:szCs w:val="21"/>
                <w:highlight w:val="none"/>
              </w:rPr>
              <w:t>万元，灭火器、固废收集箱、危废收集桶配备齐全；人员工经过职业健康安全、三级安全教育培训。</w:t>
            </w:r>
          </w:p>
          <w:p>
            <w:pPr>
              <w:pStyle w:val="16"/>
              <w:spacing w:line="360" w:lineRule="auto"/>
              <w:ind w:firstLine="420" w:firstLineChars="200"/>
              <w:rPr>
                <w:rFonts w:ascii="Times New Roman" w:hAnsi="Times New Roman"/>
                <w:sz w:val="21"/>
                <w:szCs w:val="21"/>
              </w:rPr>
            </w:pPr>
          </w:p>
          <w:p>
            <w:pPr>
              <w:spacing w:line="360" w:lineRule="auto"/>
              <w:rPr>
                <w:rFonts w:hint="eastAsia" w:eastAsia="宋体"/>
                <w:sz w:val="21"/>
                <w:szCs w:val="21"/>
                <w:lang w:val="en-US" w:eastAsia="zh-CN"/>
              </w:rPr>
            </w:pPr>
            <w:r>
              <w:rPr>
                <w:rFonts w:hint="eastAsia" w:ascii="Times New Roman" w:hAnsi="Times New Roman"/>
                <w:sz w:val="21"/>
                <w:szCs w:val="21"/>
              </w:rPr>
              <w:t>——经专业审核员确认，资源配备情况基本满足行业技术条件和体系运行要求</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cs="Arial"/>
                <w:spacing w:val="-6"/>
                <w:sz w:val="21"/>
                <w:szCs w:val="21"/>
              </w:rPr>
            </w:pPr>
            <w:r>
              <w:rPr>
                <w:rFonts w:hint="eastAsia" w:ascii="宋体" w:hAnsi="宋体" w:cs="Arial"/>
                <w:spacing w:val="-6"/>
                <w:sz w:val="21"/>
                <w:szCs w:val="21"/>
              </w:rPr>
              <w:t>沟通</w:t>
            </w:r>
            <w:r>
              <w:rPr>
                <w:rFonts w:ascii="宋体" w:hAnsi="宋体" w:cs="Arial"/>
                <w:spacing w:val="-6"/>
                <w:sz w:val="21"/>
                <w:szCs w:val="21"/>
              </w:rPr>
              <w:t>/</w:t>
            </w:r>
            <w:r>
              <w:rPr>
                <w:rFonts w:hint="eastAsia" w:ascii="宋体" w:hAnsi="宋体" w:cs="Arial"/>
                <w:spacing w:val="-6"/>
                <w:sz w:val="21"/>
                <w:szCs w:val="21"/>
              </w:rPr>
              <w:t>信息交流</w:t>
            </w:r>
          </w:p>
        </w:tc>
        <w:tc>
          <w:tcPr>
            <w:tcW w:w="960" w:type="dxa"/>
          </w:tcPr>
          <w:p>
            <w:pPr>
              <w:spacing w:line="360" w:lineRule="auto"/>
              <w:rPr>
                <w:rFonts w:hint="default"/>
                <w:sz w:val="21"/>
                <w:szCs w:val="21"/>
                <w:lang w:val="en-US" w:eastAsia="zh-CN"/>
              </w:rPr>
            </w:pPr>
            <w:r>
              <w:rPr>
                <w:rFonts w:hint="eastAsia"/>
                <w:sz w:val="21"/>
                <w:szCs w:val="21"/>
                <w:lang w:val="en-US" w:eastAsia="zh-CN"/>
              </w:rPr>
              <w:t>QEO7.4</w:t>
            </w:r>
          </w:p>
          <w:p>
            <w:pPr>
              <w:spacing w:line="360" w:lineRule="auto"/>
              <w:rPr>
                <w:rFonts w:hint="default"/>
                <w:sz w:val="21"/>
                <w:szCs w:val="21"/>
                <w:lang w:val="en-US" w:eastAsia="zh-CN"/>
              </w:rPr>
            </w:pPr>
          </w:p>
        </w:tc>
        <w:tc>
          <w:tcPr>
            <w:tcW w:w="10004" w:type="dxa"/>
          </w:tcPr>
          <w:p>
            <w:pPr>
              <w:pStyle w:val="17"/>
              <w:spacing w:line="360" w:lineRule="auto"/>
              <w:ind w:firstLine="420" w:firstLineChars="200"/>
              <w:rPr>
                <w:sz w:val="21"/>
                <w:szCs w:val="21"/>
              </w:rPr>
            </w:pPr>
            <w:r>
              <w:rPr>
                <w:rFonts w:hint="eastAsia"/>
                <w:sz w:val="21"/>
                <w:szCs w:val="21"/>
              </w:rPr>
              <w:t>查公司策划有《</w:t>
            </w:r>
            <w:r>
              <w:rPr>
                <w:rFonts w:hint="eastAsia" w:ascii="宋体" w:hAnsi="宋体"/>
                <w:color w:val="auto"/>
                <w:sz w:val="21"/>
                <w:szCs w:val="21"/>
                <w:highlight w:val="none"/>
              </w:rPr>
              <w:t>协商与信息沟通控制程序</w:t>
            </w:r>
            <w:r>
              <w:rPr>
                <w:rFonts w:hint="eastAsia"/>
                <w:sz w:val="21"/>
                <w:szCs w:val="21"/>
              </w:rPr>
              <w:t>》</w:t>
            </w:r>
          </w:p>
          <w:p>
            <w:pPr>
              <w:pStyle w:val="17"/>
              <w:spacing w:line="360" w:lineRule="auto"/>
              <w:ind w:firstLine="420" w:firstLineChars="200"/>
              <w:rPr>
                <w:sz w:val="21"/>
                <w:szCs w:val="21"/>
              </w:rPr>
            </w:pPr>
            <w:r>
              <w:rPr>
                <w:rFonts w:hint="eastAsia"/>
                <w:sz w:val="21"/>
                <w:szCs w:val="21"/>
              </w:rPr>
              <w:t>1、核查其内部沟通主要是通过月度管理例会、不定期的生产质量协调会、内部邮件、电话等方式对公司产品市场分析、产品生产计划管理、质量稳定性、生产物料协调......等进行内部沟通，跟踪核查其相关会议纪要、报表等，确认基本有效。</w:t>
            </w:r>
          </w:p>
          <w:p>
            <w:pPr>
              <w:pStyle w:val="17"/>
              <w:spacing w:line="360" w:lineRule="auto"/>
              <w:ind w:firstLine="420" w:firstLineChars="200"/>
              <w:rPr>
                <w:sz w:val="21"/>
                <w:szCs w:val="21"/>
              </w:rPr>
            </w:pPr>
            <w:r>
              <w:rPr>
                <w:rFonts w:hint="eastAsia"/>
                <w:sz w:val="21"/>
                <w:szCs w:val="21"/>
              </w:rPr>
              <w:t>2、核查其外部沟通主要是通过电话、邮件、传真、网络交流、行业交流会议......等方式对行业动态、先进工艺技术掌握、客户信息、政府信息、地区招商政策等信息进行外部沟通，跟踪核查相关会议邀请函、行业会议资料等，确认基本有效。</w:t>
            </w:r>
          </w:p>
          <w:p>
            <w:pPr>
              <w:pStyle w:val="17"/>
              <w:spacing w:line="360" w:lineRule="auto"/>
              <w:ind w:firstLine="420" w:firstLineChars="200"/>
              <w:rPr>
                <w:sz w:val="21"/>
                <w:szCs w:val="21"/>
              </w:rPr>
            </w:pPr>
          </w:p>
          <w:p>
            <w:pPr>
              <w:spacing w:line="360" w:lineRule="auto"/>
              <w:rPr>
                <w:sz w:val="21"/>
                <w:szCs w:val="21"/>
              </w:rPr>
            </w:pPr>
            <w:r>
              <w:rPr>
                <w:rFonts w:hint="eastAsia"/>
                <w:sz w:val="21"/>
                <w:szCs w:val="21"/>
              </w:rPr>
              <w:t>——控制基本满足要求。</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cs="Arial"/>
                <w:spacing w:val="-6"/>
                <w:sz w:val="21"/>
                <w:szCs w:val="21"/>
              </w:rPr>
            </w:pPr>
            <w:r>
              <w:rPr>
                <w:rFonts w:hint="eastAsia" w:cs="Arial" w:asciiTheme="minorEastAsia" w:hAnsiTheme="minorEastAsia" w:eastAsiaTheme="minorEastAsia"/>
                <w:sz w:val="21"/>
                <w:szCs w:val="21"/>
              </w:rPr>
              <w:t>监视、测量、分析和评价总则</w:t>
            </w:r>
          </w:p>
        </w:tc>
        <w:tc>
          <w:tcPr>
            <w:tcW w:w="960" w:type="dxa"/>
          </w:tcPr>
          <w:p>
            <w:pPr>
              <w:spacing w:line="360" w:lineRule="auto"/>
              <w:rPr>
                <w:rFonts w:hint="default"/>
                <w:sz w:val="21"/>
                <w:szCs w:val="21"/>
                <w:lang w:val="en-US"/>
              </w:rPr>
            </w:pPr>
            <w:r>
              <w:rPr>
                <w:rFonts w:hint="eastAsia"/>
                <w:sz w:val="21"/>
                <w:szCs w:val="21"/>
                <w:lang w:val="en-US" w:eastAsia="zh-CN"/>
              </w:rPr>
              <w:t>QEO9.1.1</w:t>
            </w:r>
          </w:p>
        </w:tc>
        <w:tc>
          <w:tcPr>
            <w:tcW w:w="10004" w:type="dxa"/>
          </w:tcPr>
          <w:p>
            <w:pPr>
              <w:pStyle w:val="16"/>
              <w:spacing w:line="360" w:lineRule="auto"/>
              <w:ind w:firstLine="420" w:firstLineChars="200"/>
              <w:rPr>
                <w:rFonts w:ascii="Times New Roman" w:hAnsi="Times New Roman"/>
                <w:sz w:val="21"/>
                <w:szCs w:val="21"/>
              </w:rPr>
            </w:pPr>
            <w:r>
              <w:rPr>
                <w:rFonts w:hint="eastAsia" w:ascii="Times New Roman" w:hAnsi="Times New Roman"/>
                <w:sz w:val="21"/>
                <w:szCs w:val="21"/>
              </w:rPr>
              <w:t>1、核查其按照体系要求建立有完善的内部检查机制，其中包括：内审、工作目标绩效考核，各层级例行的工作检查等。</w:t>
            </w:r>
          </w:p>
          <w:p>
            <w:pPr>
              <w:pStyle w:val="16"/>
              <w:spacing w:line="360" w:lineRule="auto"/>
              <w:ind w:firstLine="420" w:firstLineChars="20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、公司目标以及各部门分解目标均有效达成。</w:t>
            </w:r>
          </w:p>
          <w:p>
            <w:pPr>
              <w:pStyle w:val="16"/>
              <w:spacing w:line="360" w:lineRule="auto"/>
              <w:ind w:firstLine="420" w:firstLineChars="200"/>
              <w:rPr>
                <w:rFonts w:hint="eastAsia"/>
                <w:sz w:val="21"/>
                <w:szCs w:val="21"/>
              </w:rPr>
            </w:pPr>
            <w:r>
              <w:rPr>
                <w:rFonts w:ascii="Times New Roman" w:hAnsi="Times New Roman"/>
                <w:sz w:val="21"/>
                <w:szCs w:val="21"/>
              </w:rPr>
              <w:t>3</w:t>
            </w:r>
            <w:r>
              <w:rPr>
                <w:rFonts w:hint="eastAsia" w:ascii="Times New Roman" w:hAnsi="Times New Roman"/>
                <w:sz w:val="21"/>
                <w:szCs w:val="21"/>
                <w:highlight w:val="none"/>
              </w:rPr>
              <w:t>、业务经营合规性：</w:t>
            </w:r>
            <w:r>
              <w:rPr>
                <w:rFonts w:hint="eastAsia"/>
                <w:sz w:val="21"/>
                <w:szCs w:val="21"/>
                <w:highlight w:val="none"/>
                <w:lang w:val="en-US" w:eastAsia="zh-CN"/>
              </w:rPr>
              <w:t>现</w:t>
            </w:r>
            <w:r>
              <w:rPr>
                <w:rFonts w:hint="eastAsia"/>
                <w:sz w:val="21"/>
                <w:szCs w:val="21"/>
                <w:lang w:val="en-US" w:eastAsia="zh-CN"/>
              </w:rPr>
              <w:t>场查到</w:t>
            </w:r>
            <w:r>
              <w:rPr>
                <w:rFonts w:hint="eastAsia"/>
                <w:sz w:val="21"/>
                <w:szCs w:val="21"/>
              </w:rPr>
              <w:t>2021年4月6日高阳县应急管理局出具责令限期整改指令书：责令高阳县昌泰弹簧制造有限公司整改应急预案未及时修订；生产车间配电柜警示标识脱落、配电柜操作区域未设置绝缘胶垫三项问题。有2021年4月20日的整改复查意见书，行政处罚决定书及告知书，企业缴费收据</w:t>
            </w:r>
            <w:r>
              <w:rPr>
                <w:rFonts w:hint="eastAsia"/>
                <w:sz w:val="21"/>
                <w:szCs w:val="21"/>
                <w:lang w:eastAsia="zh-CN"/>
              </w:rPr>
              <w:t>，</w:t>
            </w:r>
            <w:r>
              <w:rPr>
                <w:rFonts w:hint="eastAsia"/>
                <w:sz w:val="21"/>
                <w:szCs w:val="21"/>
                <w:lang w:val="en-US" w:eastAsia="zh-CN"/>
              </w:rPr>
              <w:t>证实企业已按监管机构要求整改完毕</w:t>
            </w:r>
            <w:r>
              <w:rPr>
                <w:rFonts w:hint="eastAsia"/>
                <w:sz w:val="21"/>
                <w:szCs w:val="21"/>
              </w:rPr>
              <w:t>。</w:t>
            </w:r>
          </w:p>
          <w:p>
            <w:pPr>
              <w:pStyle w:val="16"/>
              <w:spacing w:line="360" w:lineRule="auto"/>
              <w:ind w:firstLine="420" w:firstLineChars="200"/>
              <w:rPr>
                <w:rFonts w:ascii="Times New Roman" w:hAnsi="Times New Roman"/>
                <w:sz w:val="21"/>
                <w:szCs w:val="21"/>
              </w:rPr>
            </w:pPr>
          </w:p>
          <w:p>
            <w:pPr>
              <w:spacing w:line="360" w:lineRule="auto"/>
              <w:rPr>
                <w:sz w:val="21"/>
                <w:szCs w:val="21"/>
              </w:rPr>
            </w:pPr>
            <w:r>
              <w:rPr>
                <w:rFonts w:hint="eastAsia" w:ascii="Times New Roman" w:hAnsi="Times New Roman"/>
                <w:sz w:val="21"/>
                <w:szCs w:val="21"/>
              </w:rPr>
              <w:t>——符合标准要求。</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cs="Arial" w:asciiTheme="minorEastAsia" w:hAnsiTheme="minorEastAsia" w:eastAsiaTheme="minorEastAsia"/>
                <w:sz w:val="21"/>
                <w:szCs w:val="21"/>
              </w:rPr>
            </w:pPr>
            <w:r>
              <w:rPr>
                <w:rFonts w:hint="eastAsia" w:ascii="宋体" w:hAnsi="宋体" w:cs="Arial"/>
                <w:spacing w:val="-6"/>
                <w:sz w:val="21"/>
                <w:szCs w:val="21"/>
              </w:rPr>
              <w:t>管理评审</w:t>
            </w:r>
          </w:p>
        </w:tc>
        <w:tc>
          <w:tcPr>
            <w:tcW w:w="960" w:type="dxa"/>
          </w:tcPr>
          <w:p>
            <w:pPr>
              <w:spacing w:line="360" w:lineRule="auto"/>
              <w:rPr>
                <w:rFonts w:hint="default"/>
                <w:sz w:val="21"/>
                <w:szCs w:val="21"/>
                <w:lang w:val="en-US"/>
              </w:rPr>
            </w:pPr>
            <w:r>
              <w:rPr>
                <w:rFonts w:hint="eastAsia"/>
                <w:sz w:val="21"/>
                <w:szCs w:val="21"/>
                <w:lang w:val="en-US" w:eastAsia="zh-CN"/>
              </w:rPr>
              <w:t>QEO9.3</w:t>
            </w:r>
          </w:p>
        </w:tc>
        <w:tc>
          <w:tcPr>
            <w:tcW w:w="10004" w:type="dxa"/>
          </w:tcPr>
          <w:p>
            <w:pPr>
              <w:pStyle w:val="16"/>
              <w:spacing w:line="360" w:lineRule="auto"/>
              <w:ind w:firstLine="420" w:firstLineChars="200"/>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策划有《</w:t>
            </w:r>
            <w:r>
              <w:rPr>
                <w:rFonts w:hint="eastAsia" w:ascii="宋体" w:hAnsi="宋体"/>
                <w:color w:val="auto"/>
                <w:sz w:val="21"/>
                <w:szCs w:val="21"/>
                <w:highlight w:val="none"/>
              </w:rPr>
              <w:t>管理评审控制程序</w:t>
            </w:r>
            <w:r>
              <w:rPr>
                <w:rFonts w:hint="eastAsia" w:ascii="宋体" w:hAnsi="宋体"/>
                <w:color w:val="auto"/>
                <w:sz w:val="21"/>
                <w:szCs w:val="21"/>
                <w:highlight w:val="none"/>
                <w:lang w:eastAsia="zh-CN"/>
              </w:rPr>
              <w:t>》。</w:t>
            </w:r>
          </w:p>
          <w:p>
            <w:pPr>
              <w:pStyle w:val="16"/>
              <w:spacing w:line="360" w:lineRule="auto"/>
              <w:ind w:firstLine="420" w:firstLineChars="200"/>
              <w:rPr>
                <w:rFonts w:hint="default" w:ascii="Times New Roman" w:hAnsi="Times New Roman" w:eastAsia="宋体"/>
                <w:sz w:val="21"/>
                <w:szCs w:val="21"/>
                <w:lang w:val="en-US" w:eastAsia="zh-CN"/>
              </w:rPr>
            </w:pPr>
            <w:r>
              <w:rPr>
                <w:rFonts w:hint="eastAsia" w:ascii="Times New Roman" w:hAnsi="Times New Roman"/>
                <w:sz w:val="21"/>
                <w:szCs w:val="21"/>
              </w:rPr>
              <w:t>公司在2</w:t>
            </w:r>
            <w:r>
              <w:rPr>
                <w:rFonts w:ascii="Times New Roman" w:hAnsi="Times New Roman"/>
                <w:sz w:val="21"/>
                <w:szCs w:val="21"/>
              </w:rPr>
              <w:t>021.</w:t>
            </w:r>
            <w:r>
              <w:rPr>
                <w:rFonts w:hint="eastAsia" w:ascii="Times New Roman" w:hAnsi="Times New Roman"/>
                <w:sz w:val="21"/>
                <w:szCs w:val="21"/>
                <w:lang w:val="en-US" w:eastAsia="zh-CN"/>
              </w:rPr>
              <w:t>11.25</w:t>
            </w:r>
            <w:r>
              <w:rPr>
                <w:rFonts w:ascii="Times New Roman" w:hAnsi="Times New Roman"/>
                <w:sz w:val="21"/>
                <w:szCs w:val="21"/>
              </w:rPr>
              <w:t>.</w:t>
            </w:r>
            <w:r>
              <w:rPr>
                <w:rFonts w:hint="eastAsia" w:ascii="Times New Roman" w:hAnsi="Times New Roman"/>
                <w:sz w:val="21"/>
                <w:szCs w:val="21"/>
              </w:rPr>
              <w:t>进行了管理评审活动</w:t>
            </w:r>
            <w:r>
              <w:rPr>
                <w:rFonts w:hint="eastAsia" w:ascii="Times New Roman" w:hAnsi="Times New Roman"/>
                <w:sz w:val="21"/>
                <w:szCs w:val="21"/>
                <w:lang w:val="en-US" w:eastAsia="zh-CN"/>
              </w:rPr>
              <w:t>，</w:t>
            </w:r>
            <w:r>
              <w:rPr>
                <w:rFonts w:hint="eastAsia" w:ascii="Times New Roman" w:hAnsi="Times New Roman"/>
                <w:sz w:val="21"/>
                <w:szCs w:val="21"/>
              </w:rPr>
              <w:t>管理评审策划和实施的时间、覆盖的范围、输入、输出</w:t>
            </w:r>
            <w:r>
              <w:rPr>
                <w:rFonts w:hint="eastAsia" w:ascii="Times New Roman" w:hAnsi="Times New Roman"/>
                <w:sz w:val="21"/>
                <w:szCs w:val="21"/>
                <w:lang w:eastAsia="zh-CN"/>
              </w:rPr>
              <w:t>、</w:t>
            </w:r>
            <w:r>
              <w:rPr>
                <w:rFonts w:hint="eastAsia" w:ascii="Times New Roman" w:hAnsi="Times New Roman"/>
                <w:sz w:val="21"/>
                <w:szCs w:val="21"/>
                <w:lang w:val="en-US" w:eastAsia="zh-CN"/>
              </w:rPr>
              <w:t>结论及改进措施，</w:t>
            </w:r>
            <w:r>
              <w:rPr>
                <w:rFonts w:hint="eastAsia" w:ascii="Times New Roman" w:hAnsi="Times New Roman"/>
                <w:sz w:val="21"/>
                <w:szCs w:val="21"/>
              </w:rPr>
              <w:t>均符合规定要求；</w:t>
            </w:r>
            <w:r>
              <w:rPr>
                <w:rFonts w:hint="eastAsia" w:ascii="Times New Roman" w:hAnsi="Times New Roman"/>
                <w:sz w:val="21"/>
                <w:szCs w:val="21"/>
                <w:lang w:val="en-US" w:eastAsia="zh-CN"/>
              </w:rPr>
              <w:t>提供有手写签到表。抽查内容如下：</w:t>
            </w:r>
          </w:p>
          <w:p>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1、评审输入：</w:t>
            </w:r>
          </w:p>
          <w:p>
            <w:pPr>
              <w:tabs>
                <w:tab w:val="left" w:pos="6120"/>
              </w:tabs>
              <w:spacing w:line="360" w:lineRule="auto"/>
              <w:ind w:firstLine="472" w:firstLineChars="225"/>
              <w:rPr>
                <w:rFonts w:hint="eastAsia"/>
                <w:sz w:val="21"/>
                <w:szCs w:val="21"/>
              </w:rPr>
            </w:pPr>
            <w:r>
              <w:rPr>
                <w:rFonts w:hint="eastAsia"/>
                <w:sz w:val="21"/>
                <w:szCs w:val="21"/>
              </w:rPr>
              <w:t>a）以往管理评审所采取措施的情况；</w:t>
            </w:r>
          </w:p>
          <w:p>
            <w:pPr>
              <w:tabs>
                <w:tab w:val="left" w:pos="6120"/>
              </w:tabs>
              <w:spacing w:line="360" w:lineRule="auto"/>
              <w:ind w:firstLine="472" w:firstLineChars="225"/>
              <w:rPr>
                <w:rFonts w:hint="eastAsia"/>
                <w:sz w:val="21"/>
                <w:szCs w:val="21"/>
              </w:rPr>
            </w:pPr>
            <w:r>
              <w:rPr>
                <w:rFonts w:hint="eastAsia"/>
                <w:sz w:val="21"/>
                <w:szCs w:val="21"/>
              </w:rPr>
              <w:t>b）与管理体系相关的内外部因素的变化；</w:t>
            </w:r>
          </w:p>
          <w:p>
            <w:pPr>
              <w:tabs>
                <w:tab w:val="left" w:pos="6120"/>
              </w:tabs>
              <w:spacing w:line="360" w:lineRule="auto"/>
              <w:ind w:firstLine="472" w:firstLineChars="225"/>
              <w:rPr>
                <w:rFonts w:hint="eastAsia"/>
                <w:sz w:val="21"/>
                <w:szCs w:val="21"/>
              </w:rPr>
            </w:pPr>
            <w:r>
              <w:rPr>
                <w:rFonts w:hint="eastAsia"/>
                <w:sz w:val="21"/>
                <w:szCs w:val="21"/>
              </w:rPr>
              <w:t>c）下列有关管理体系绩效和有效性的信息，包括其趋势：</w:t>
            </w:r>
          </w:p>
          <w:p>
            <w:pPr>
              <w:tabs>
                <w:tab w:val="left" w:pos="6120"/>
              </w:tabs>
              <w:spacing w:line="360" w:lineRule="auto"/>
              <w:ind w:firstLine="472" w:firstLineChars="225"/>
              <w:rPr>
                <w:rFonts w:hint="eastAsia"/>
                <w:sz w:val="21"/>
                <w:szCs w:val="21"/>
              </w:rPr>
            </w:pPr>
            <w:r>
              <w:rPr>
                <w:rFonts w:hint="eastAsia"/>
                <w:sz w:val="21"/>
                <w:szCs w:val="21"/>
                <w:lang w:val="en-US" w:eastAsia="zh-CN"/>
              </w:rPr>
              <w:t xml:space="preserve">  </w:t>
            </w:r>
            <w:r>
              <w:rPr>
                <w:rFonts w:hint="eastAsia"/>
                <w:sz w:val="21"/>
                <w:szCs w:val="21"/>
              </w:rPr>
              <w:t>1）顾客满意和有关相关方的反馈；</w:t>
            </w:r>
          </w:p>
          <w:p>
            <w:pPr>
              <w:tabs>
                <w:tab w:val="left" w:pos="6120"/>
              </w:tabs>
              <w:spacing w:line="360" w:lineRule="auto"/>
              <w:ind w:firstLine="472" w:firstLineChars="225"/>
              <w:rPr>
                <w:rFonts w:hint="eastAsia"/>
                <w:sz w:val="21"/>
                <w:szCs w:val="21"/>
              </w:rPr>
            </w:pPr>
            <w:r>
              <w:rPr>
                <w:rFonts w:hint="eastAsia"/>
                <w:sz w:val="21"/>
                <w:szCs w:val="21"/>
                <w:lang w:val="en-US" w:eastAsia="zh-CN"/>
              </w:rPr>
              <w:t xml:space="preserve">  </w:t>
            </w:r>
            <w:r>
              <w:rPr>
                <w:rFonts w:hint="eastAsia"/>
                <w:sz w:val="21"/>
                <w:szCs w:val="21"/>
              </w:rPr>
              <w:t>2）</w:t>
            </w:r>
            <w:r>
              <w:rPr>
                <w:rFonts w:hint="eastAsia"/>
                <w:sz w:val="21"/>
                <w:szCs w:val="21"/>
                <w:lang w:val="en-US" w:eastAsia="zh-CN"/>
              </w:rPr>
              <w:t>管理</w:t>
            </w:r>
            <w:r>
              <w:rPr>
                <w:rFonts w:hint="eastAsia"/>
                <w:sz w:val="21"/>
                <w:szCs w:val="21"/>
              </w:rPr>
              <w:t>目标的实现程度；</w:t>
            </w:r>
          </w:p>
          <w:p>
            <w:pPr>
              <w:tabs>
                <w:tab w:val="left" w:pos="6120"/>
              </w:tabs>
              <w:spacing w:line="360" w:lineRule="auto"/>
              <w:ind w:firstLine="472" w:firstLineChars="225"/>
              <w:rPr>
                <w:rFonts w:hint="eastAsia"/>
                <w:sz w:val="21"/>
                <w:szCs w:val="21"/>
              </w:rPr>
            </w:pPr>
            <w:r>
              <w:rPr>
                <w:rFonts w:hint="eastAsia"/>
                <w:sz w:val="21"/>
                <w:szCs w:val="21"/>
                <w:lang w:val="en-US" w:eastAsia="zh-CN"/>
              </w:rPr>
              <w:t xml:space="preserve">  </w:t>
            </w:r>
            <w:r>
              <w:rPr>
                <w:rFonts w:hint="eastAsia"/>
                <w:sz w:val="21"/>
                <w:szCs w:val="21"/>
              </w:rPr>
              <w:t>3）过程绩效以及产品和服务的合格情况；</w:t>
            </w:r>
          </w:p>
          <w:p>
            <w:pPr>
              <w:tabs>
                <w:tab w:val="left" w:pos="6120"/>
              </w:tabs>
              <w:spacing w:line="360" w:lineRule="auto"/>
              <w:ind w:firstLine="472" w:firstLineChars="225"/>
              <w:rPr>
                <w:rFonts w:hint="eastAsia"/>
                <w:sz w:val="21"/>
                <w:szCs w:val="21"/>
              </w:rPr>
            </w:pPr>
            <w:r>
              <w:rPr>
                <w:rFonts w:hint="eastAsia"/>
                <w:sz w:val="21"/>
                <w:szCs w:val="21"/>
                <w:lang w:val="en-US" w:eastAsia="zh-CN"/>
              </w:rPr>
              <w:t xml:space="preserve">  </w:t>
            </w:r>
            <w:r>
              <w:rPr>
                <w:rFonts w:hint="eastAsia"/>
                <w:sz w:val="21"/>
                <w:szCs w:val="21"/>
              </w:rPr>
              <w:t>4）不合格及纠正措施；</w:t>
            </w:r>
          </w:p>
          <w:p>
            <w:pPr>
              <w:tabs>
                <w:tab w:val="left" w:pos="6120"/>
              </w:tabs>
              <w:spacing w:line="360" w:lineRule="auto"/>
              <w:ind w:firstLine="472" w:firstLineChars="225"/>
              <w:rPr>
                <w:rFonts w:hint="eastAsia"/>
                <w:sz w:val="21"/>
                <w:szCs w:val="21"/>
              </w:rPr>
            </w:pPr>
            <w:r>
              <w:rPr>
                <w:rFonts w:hint="eastAsia"/>
                <w:sz w:val="21"/>
                <w:szCs w:val="21"/>
                <w:lang w:val="en-US" w:eastAsia="zh-CN"/>
              </w:rPr>
              <w:t xml:space="preserve">  </w:t>
            </w:r>
            <w:r>
              <w:rPr>
                <w:rFonts w:hint="eastAsia"/>
                <w:sz w:val="21"/>
                <w:szCs w:val="21"/>
              </w:rPr>
              <w:t>5）监视和测量结果；</w:t>
            </w:r>
          </w:p>
          <w:p>
            <w:pPr>
              <w:tabs>
                <w:tab w:val="left" w:pos="6120"/>
              </w:tabs>
              <w:spacing w:line="360" w:lineRule="auto"/>
              <w:ind w:firstLine="472" w:firstLineChars="225"/>
              <w:rPr>
                <w:rFonts w:hint="eastAsia"/>
                <w:sz w:val="21"/>
                <w:szCs w:val="21"/>
              </w:rPr>
            </w:pPr>
            <w:r>
              <w:rPr>
                <w:rFonts w:hint="eastAsia"/>
                <w:sz w:val="21"/>
                <w:szCs w:val="21"/>
                <w:lang w:val="en-US" w:eastAsia="zh-CN"/>
              </w:rPr>
              <w:t xml:space="preserve">  </w:t>
            </w:r>
            <w:r>
              <w:rPr>
                <w:rFonts w:hint="eastAsia"/>
                <w:sz w:val="21"/>
                <w:szCs w:val="21"/>
              </w:rPr>
              <w:t>6）审核结果；</w:t>
            </w:r>
          </w:p>
          <w:p>
            <w:pPr>
              <w:tabs>
                <w:tab w:val="left" w:pos="6120"/>
              </w:tabs>
              <w:spacing w:line="360" w:lineRule="auto"/>
              <w:ind w:firstLine="472" w:firstLineChars="225"/>
              <w:rPr>
                <w:rFonts w:hint="eastAsia"/>
                <w:sz w:val="21"/>
                <w:szCs w:val="21"/>
              </w:rPr>
            </w:pPr>
            <w:r>
              <w:rPr>
                <w:rFonts w:hint="eastAsia"/>
                <w:sz w:val="21"/>
                <w:szCs w:val="21"/>
                <w:lang w:val="en-US" w:eastAsia="zh-CN"/>
              </w:rPr>
              <w:t xml:space="preserve">  </w:t>
            </w:r>
            <w:r>
              <w:rPr>
                <w:rFonts w:hint="eastAsia"/>
                <w:sz w:val="21"/>
                <w:szCs w:val="21"/>
              </w:rPr>
              <w:t>7）外部供方的绩效。</w:t>
            </w:r>
          </w:p>
          <w:p>
            <w:pPr>
              <w:tabs>
                <w:tab w:val="left" w:pos="6120"/>
              </w:tabs>
              <w:spacing w:line="360" w:lineRule="auto"/>
              <w:ind w:firstLine="472" w:firstLineChars="225"/>
              <w:rPr>
                <w:rFonts w:hint="eastAsia"/>
                <w:sz w:val="21"/>
                <w:szCs w:val="21"/>
              </w:rPr>
            </w:pPr>
            <w:r>
              <w:rPr>
                <w:rFonts w:hint="eastAsia"/>
                <w:sz w:val="21"/>
                <w:szCs w:val="21"/>
              </w:rPr>
              <w:t>d）资源的充分性；</w:t>
            </w:r>
          </w:p>
          <w:p>
            <w:pPr>
              <w:tabs>
                <w:tab w:val="left" w:pos="6120"/>
              </w:tabs>
              <w:spacing w:line="360" w:lineRule="auto"/>
              <w:ind w:firstLine="472" w:firstLineChars="225"/>
              <w:rPr>
                <w:rFonts w:hint="eastAsia"/>
                <w:sz w:val="21"/>
                <w:szCs w:val="21"/>
              </w:rPr>
            </w:pPr>
            <w:r>
              <w:rPr>
                <w:rFonts w:hint="eastAsia"/>
                <w:sz w:val="21"/>
                <w:szCs w:val="21"/>
              </w:rPr>
              <w:t>e）应对风险和机遇所采取措施的有效性；</w:t>
            </w:r>
          </w:p>
          <w:p>
            <w:pPr>
              <w:tabs>
                <w:tab w:val="left" w:pos="6120"/>
              </w:tabs>
              <w:spacing w:line="360" w:lineRule="auto"/>
              <w:ind w:firstLine="472" w:firstLineChars="225"/>
              <w:rPr>
                <w:rFonts w:hint="eastAsia"/>
                <w:sz w:val="21"/>
                <w:szCs w:val="21"/>
              </w:rPr>
            </w:pPr>
            <w:r>
              <w:rPr>
                <w:rFonts w:hint="eastAsia"/>
                <w:sz w:val="21"/>
                <w:szCs w:val="21"/>
              </w:rPr>
              <w:t>f）改进的机会。</w:t>
            </w:r>
          </w:p>
          <w:p>
            <w:pPr>
              <w:tabs>
                <w:tab w:val="left" w:pos="6120"/>
              </w:tabs>
              <w:spacing w:line="360" w:lineRule="auto"/>
              <w:ind w:firstLine="472" w:firstLineChars="225"/>
              <w:rPr>
                <w:rFonts w:hint="eastAsia"/>
                <w:sz w:val="21"/>
                <w:szCs w:val="21"/>
              </w:rPr>
            </w:pPr>
            <w:r>
              <w:rPr>
                <w:rFonts w:hint="eastAsia"/>
                <w:sz w:val="21"/>
                <w:szCs w:val="21"/>
                <w:lang w:val="en-US" w:eastAsia="zh-CN"/>
              </w:rPr>
              <w:t>g</w:t>
            </w:r>
            <w:r>
              <w:rPr>
                <w:rFonts w:hint="eastAsia"/>
                <w:sz w:val="21"/>
                <w:szCs w:val="21"/>
              </w:rPr>
              <w:t>）与环境、职业健康安全有关的其他重要事宜；</w:t>
            </w:r>
          </w:p>
          <w:p>
            <w:pPr>
              <w:tabs>
                <w:tab w:val="left" w:pos="6120"/>
              </w:tabs>
              <w:spacing w:line="360" w:lineRule="auto"/>
              <w:ind w:firstLine="472" w:firstLineChars="225"/>
              <w:rPr>
                <w:rFonts w:hint="eastAsia" w:eastAsia="宋体"/>
                <w:sz w:val="21"/>
                <w:szCs w:val="21"/>
                <w:lang w:val="en-US" w:eastAsia="zh-CN"/>
              </w:rPr>
            </w:pPr>
            <w:r>
              <w:rPr>
                <w:rFonts w:hint="eastAsia"/>
                <w:sz w:val="21"/>
                <w:szCs w:val="21"/>
                <w:lang w:val="en-US" w:eastAsia="zh-CN"/>
              </w:rPr>
              <w:t>h</w:t>
            </w:r>
            <w:r>
              <w:rPr>
                <w:rFonts w:hint="eastAsia"/>
                <w:sz w:val="21"/>
                <w:szCs w:val="21"/>
              </w:rPr>
              <w:t>）</w:t>
            </w:r>
            <w:r>
              <w:rPr>
                <w:rFonts w:hint="eastAsia"/>
                <w:sz w:val="21"/>
                <w:szCs w:val="21"/>
                <w:lang w:val="en-US" w:eastAsia="zh-CN"/>
              </w:rPr>
              <w:t>重要环境因素、不可接受风险的控制</w:t>
            </w:r>
          </w:p>
          <w:p>
            <w:pPr>
              <w:tabs>
                <w:tab w:val="left" w:pos="6120"/>
              </w:tabs>
              <w:spacing w:line="360" w:lineRule="auto"/>
              <w:ind w:firstLine="472" w:firstLineChars="225"/>
              <w:rPr>
                <w:rFonts w:hint="eastAsia" w:eastAsia="宋体"/>
                <w:sz w:val="21"/>
                <w:szCs w:val="21"/>
                <w:lang w:val="en-US" w:eastAsia="zh-CN"/>
              </w:rPr>
            </w:pPr>
            <w:r>
              <w:rPr>
                <w:rFonts w:hint="eastAsia"/>
                <w:sz w:val="21"/>
                <w:szCs w:val="21"/>
                <w:lang w:val="en-US" w:eastAsia="zh-CN"/>
              </w:rPr>
              <w:t>i</w:t>
            </w:r>
            <w:r>
              <w:rPr>
                <w:rFonts w:hint="eastAsia"/>
                <w:sz w:val="21"/>
                <w:szCs w:val="21"/>
              </w:rPr>
              <w:t>）</w:t>
            </w:r>
            <w:r>
              <w:rPr>
                <w:rFonts w:hint="eastAsia"/>
                <w:sz w:val="21"/>
                <w:szCs w:val="21"/>
                <w:lang w:val="en-US" w:eastAsia="zh-CN"/>
              </w:rPr>
              <w:t>运行控制的效果</w:t>
            </w:r>
          </w:p>
          <w:p>
            <w:pPr>
              <w:tabs>
                <w:tab w:val="left" w:pos="6120"/>
              </w:tabs>
              <w:spacing w:line="360" w:lineRule="auto"/>
              <w:ind w:firstLine="472" w:firstLineChars="225"/>
              <w:rPr>
                <w:rFonts w:hint="eastAsia"/>
                <w:sz w:val="21"/>
                <w:szCs w:val="21"/>
                <w:lang w:val="en-US" w:eastAsia="zh-CN"/>
              </w:rPr>
            </w:pPr>
            <w:r>
              <w:rPr>
                <w:rFonts w:hint="eastAsia"/>
                <w:sz w:val="21"/>
                <w:szCs w:val="21"/>
                <w:lang w:val="en-US" w:eastAsia="zh-CN"/>
              </w:rPr>
              <w:t>j</w:t>
            </w:r>
            <w:r>
              <w:rPr>
                <w:rFonts w:hint="eastAsia"/>
                <w:sz w:val="21"/>
                <w:szCs w:val="21"/>
              </w:rPr>
              <w:t>）</w:t>
            </w:r>
            <w:r>
              <w:rPr>
                <w:rFonts w:hint="eastAsia"/>
                <w:sz w:val="21"/>
                <w:szCs w:val="21"/>
                <w:lang w:val="en-US" w:eastAsia="zh-CN"/>
              </w:rPr>
              <w:t>合规性评价的结果</w:t>
            </w:r>
          </w:p>
          <w:p>
            <w:pPr>
              <w:spacing w:line="360" w:lineRule="auto"/>
              <w:ind w:firstLine="420" w:firstLineChars="200"/>
              <w:rPr>
                <w:rFonts w:hint="eastAsia"/>
                <w:sz w:val="21"/>
                <w:szCs w:val="21"/>
                <w:lang w:val="en-US" w:eastAsia="zh-CN"/>
              </w:rPr>
            </w:pPr>
            <w:r>
              <w:rPr>
                <w:rFonts w:hint="eastAsia"/>
                <w:sz w:val="21"/>
                <w:szCs w:val="21"/>
                <w:lang w:val="en-US" w:eastAsia="zh-CN"/>
              </w:rPr>
              <w:t>k</w:t>
            </w:r>
            <w:r>
              <w:rPr>
                <w:rFonts w:hint="eastAsia"/>
                <w:sz w:val="21"/>
                <w:szCs w:val="21"/>
              </w:rPr>
              <w:t>）</w:t>
            </w:r>
            <w:r>
              <w:rPr>
                <w:rFonts w:hint="eastAsia"/>
                <w:sz w:val="21"/>
                <w:szCs w:val="21"/>
                <w:lang w:val="en-US" w:eastAsia="zh-CN"/>
              </w:rPr>
              <w:t>组织的职业健康安全绩效、环境绩效</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评审结论：</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管理体系能够按照GB/T19001-2016、GB/T24001-2016、GB/T45001-2020标准要求进行管理，并取得了一定的成效，公司质量、环境、职业健康安全目标得以实现，公司质量、环境、职业健康安全方针符合公司实际，体系运行持续有效，公司改进机制有效。顾客的反馈意见及行业检查都证实了我公司的产品质量是信得过的，也无安全事故的发生。通过管理评审认为资源的配置是适宜的，在员工的素质要求方面，要求我公司加强对相关员工的培训，同时在人员分工上有待提高，总体而言，质量、环境、职业健康安全管理体系的运行是有效的、适宜的、充分的，能适应顾客和员工及社会的需求。</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改进需求：</w:t>
            </w:r>
            <w:bookmarkStart w:id="5" w:name="_GoBack"/>
            <w:bookmarkEnd w:id="5"/>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要进一步强化</w:t>
            </w:r>
            <w:r>
              <w:rPr>
                <w:rFonts w:hint="eastAsia" w:asciiTheme="minorEastAsia" w:hAnsiTheme="minorEastAsia" w:eastAsiaTheme="minorEastAsia" w:cstheme="minorEastAsia"/>
                <w:color w:val="auto"/>
                <w:sz w:val="21"/>
                <w:szCs w:val="21"/>
                <w:lang w:eastAsia="zh-CN"/>
              </w:rPr>
              <w:t>对公司员工的专业培训，质量、环境、职业健康安全管理体系文件的理解及</w:t>
            </w:r>
            <w:r>
              <w:rPr>
                <w:rFonts w:hint="eastAsia" w:asciiTheme="minorEastAsia" w:hAnsiTheme="minorEastAsia" w:eastAsiaTheme="minorEastAsia" w:cstheme="minorEastAsia"/>
                <w:color w:val="auto"/>
                <w:sz w:val="21"/>
                <w:szCs w:val="21"/>
              </w:rPr>
              <w:t>标准</w:t>
            </w:r>
            <w:r>
              <w:rPr>
                <w:rFonts w:hint="eastAsia" w:asciiTheme="minorEastAsia" w:hAnsiTheme="minorEastAsia" w:eastAsiaTheme="minorEastAsia" w:cstheme="minorEastAsia"/>
                <w:color w:val="auto"/>
                <w:sz w:val="21"/>
                <w:szCs w:val="21"/>
                <w:lang w:eastAsia="zh-CN"/>
              </w:rPr>
              <w:t>条款</w:t>
            </w:r>
            <w:r>
              <w:rPr>
                <w:rFonts w:hint="eastAsia" w:asciiTheme="minorEastAsia" w:hAnsiTheme="minorEastAsia" w:eastAsiaTheme="minorEastAsia" w:cstheme="minorEastAsia"/>
                <w:color w:val="auto"/>
                <w:sz w:val="21"/>
                <w:szCs w:val="21"/>
              </w:rPr>
              <w:t>的培训，全员参与提高企业的管理水平。</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验证与评价：</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符合改进要求，达到目的.</w:t>
            </w:r>
          </w:p>
          <w:p>
            <w:pPr>
              <w:wordWrap w:val="0"/>
              <w:spacing w:line="360" w:lineRule="auto"/>
              <w:jc w:val="both"/>
              <w:rPr>
                <w:rFonts w:hint="eastAsia" w:ascii="Times New Roman" w:hAnsi="Times New Roman"/>
                <w:sz w:val="21"/>
                <w:szCs w:val="21"/>
              </w:rPr>
            </w:pPr>
            <w:r>
              <w:rPr>
                <w:rFonts w:hint="eastAsia" w:asciiTheme="minorEastAsia" w:hAnsiTheme="minorEastAsia" w:eastAsiaTheme="minorEastAsia" w:cstheme="minorEastAsia"/>
                <w:color w:val="auto"/>
                <w:sz w:val="21"/>
                <w:szCs w:val="21"/>
              </w:rPr>
              <w:t>自检人：</w:t>
            </w:r>
            <w:r>
              <w:rPr>
                <w:rFonts w:hint="eastAsia" w:asciiTheme="minorEastAsia" w:hAnsiTheme="minorEastAsia" w:eastAsiaTheme="minorEastAsia" w:cstheme="minorEastAsia"/>
                <w:color w:val="auto"/>
                <w:sz w:val="21"/>
                <w:szCs w:val="21"/>
                <w:lang w:eastAsia="zh-CN"/>
              </w:rPr>
              <w:t>孙立民</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2021年</w:t>
            </w: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26</w:t>
            </w:r>
            <w:r>
              <w:rPr>
                <w:rFonts w:hint="eastAsia" w:asciiTheme="minorEastAsia" w:hAnsiTheme="minorEastAsia" w:eastAsiaTheme="minorEastAsia" w:cstheme="minorEastAsia"/>
                <w:color w:val="auto"/>
                <w:sz w:val="21"/>
                <w:szCs w:val="21"/>
                <w:lang w:eastAsia="zh-CN"/>
              </w:rPr>
              <w:t>日</w:t>
            </w:r>
          </w:p>
          <w:p>
            <w:pPr>
              <w:pStyle w:val="16"/>
              <w:spacing w:line="360" w:lineRule="auto"/>
              <w:ind w:firstLine="420" w:firstLineChars="200"/>
              <w:rPr>
                <w:rFonts w:ascii="Times New Roman" w:hAnsi="Times New Roman"/>
                <w:sz w:val="21"/>
                <w:szCs w:val="21"/>
              </w:rPr>
            </w:pPr>
          </w:p>
          <w:p>
            <w:pPr>
              <w:spacing w:line="360" w:lineRule="auto"/>
              <w:rPr>
                <w:sz w:val="21"/>
                <w:szCs w:val="21"/>
              </w:rPr>
            </w:pPr>
            <w:r>
              <w:rPr>
                <w:rFonts w:hint="eastAsia" w:ascii="Times New Roman" w:hAnsi="Times New Roman"/>
                <w:sz w:val="21"/>
                <w:szCs w:val="21"/>
              </w:rPr>
              <w:t>——符合标准要求。</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cs="Arial"/>
                <w:spacing w:val="-6"/>
                <w:sz w:val="21"/>
                <w:szCs w:val="21"/>
              </w:rPr>
            </w:pPr>
            <w:r>
              <w:rPr>
                <w:rFonts w:hint="eastAsia" w:ascii="宋体" w:hAnsi="宋体" w:cs="Arial"/>
                <w:spacing w:val="-6"/>
                <w:sz w:val="21"/>
                <w:szCs w:val="21"/>
              </w:rPr>
              <w:t>改进</w:t>
            </w:r>
          </w:p>
        </w:tc>
        <w:tc>
          <w:tcPr>
            <w:tcW w:w="960" w:type="dxa"/>
          </w:tcPr>
          <w:p>
            <w:pPr>
              <w:spacing w:line="360" w:lineRule="auto"/>
              <w:rPr>
                <w:rFonts w:hint="default"/>
                <w:sz w:val="21"/>
                <w:szCs w:val="21"/>
                <w:lang w:val="en-US"/>
              </w:rPr>
            </w:pPr>
            <w:r>
              <w:rPr>
                <w:rFonts w:hint="eastAsia"/>
                <w:sz w:val="21"/>
                <w:szCs w:val="21"/>
                <w:lang w:val="en-US" w:eastAsia="zh-CN"/>
              </w:rPr>
              <w:t>QEO10.1</w:t>
            </w:r>
          </w:p>
        </w:tc>
        <w:tc>
          <w:tcPr>
            <w:tcW w:w="10004" w:type="dxa"/>
          </w:tcPr>
          <w:p>
            <w:pPr>
              <w:pStyle w:val="16"/>
              <w:spacing w:line="360" w:lineRule="auto"/>
              <w:ind w:firstLine="420" w:firstLineChars="200"/>
              <w:rPr>
                <w:rFonts w:ascii="Times New Roman" w:hAnsi="Times New Roman"/>
                <w:sz w:val="21"/>
                <w:szCs w:val="21"/>
              </w:rPr>
            </w:pPr>
            <w:r>
              <w:rPr>
                <w:rFonts w:hint="eastAsia" w:ascii="Times New Roman" w:hAnsi="Times New Roman"/>
                <w:sz w:val="21"/>
                <w:szCs w:val="21"/>
              </w:rPr>
              <w:t>1、在公司及部门层面全面实施目标考核机制，针对周期性目标考核结果进行改进实施。</w:t>
            </w:r>
          </w:p>
          <w:p>
            <w:pPr>
              <w:pStyle w:val="16"/>
              <w:spacing w:line="360" w:lineRule="auto"/>
              <w:ind w:firstLine="420" w:firstLineChars="200"/>
              <w:rPr>
                <w:rFonts w:ascii="Times New Roman" w:hAnsi="Times New Roman"/>
                <w:sz w:val="21"/>
                <w:szCs w:val="21"/>
              </w:rPr>
            </w:pPr>
            <w:r>
              <w:rPr>
                <w:rFonts w:hint="eastAsia" w:ascii="Times New Roman" w:hAnsi="Times New Roman"/>
                <w:sz w:val="21"/>
                <w:szCs w:val="21"/>
              </w:rPr>
              <w:t>2、针对年度内审发现的不符合项实施了原因分析制定纠正措施并跟踪整改验证；针对年度管理评审和公司重大会议等活动信息进行综合分析评价，形成必要的改进决策。</w:t>
            </w:r>
          </w:p>
          <w:p>
            <w:pPr>
              <w:pStyle w:val="16"/>
              <w:spacing w:line="360" w:lineRule="auto"/>
              <w:ind w:firstLine="420" w:firstLineChars="200"/>
              <w:rPr>
                <w:rFonts w:ascii="Times New Roman" w:hAnsi="Times New Roman"/>
                <w:sz w:val="21"/>
                <w:szCs w:val="21"/>
              </w:rPr>
            </w:pPr>
            <w:r>
              <w:rPr>
                <w:rFonts w:hint="eastAsia" w:ascii="Times New Roman" w:hAnsi="Times New Roman"/>
                <w:sz w:val="21"/>
                <w:szCs w:val="21"/>
              </w:rPr>
              <w:t>3、在日常业务运行中，组织各部门收集、统计贯标记录及质量、环境、职业健康安全相关记录信息，运用统计技术进行数据分析，寻找改进机会。</w:t>
            </w:r>
          </w:p>
          <w:p>
            <w:pPr>
              <w:spacing w:line="360" w:lineRule="auto"/>
              <w:rPr>
                <w:sz w:val="21"/>
                <w:szCs w:val="21"/>
              </w:rPr>
            </w:pPr>
            <w:r>
              <w:rPr>
                <w:rFonts w:hint="eastAsia" w:ascii="Times New Roman" w:hAnsi="Times New Roman"/>
                <w:sz w:val="21"/>
                <w:szCs w:val="21"/>
              </w:rPr>
              <w:t>——上述这些均在相应的过程审核中提供有实施证据，证实了该组织改进机制的建设基本有效</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cs="Arial"/>
                <w:spacing w:val="-6"/>
                <w:sz w:val="21"/>
                <w:szCs w:val="21"/>
              </w:rPr>
            </w:pPr>
            <w:r>
              <w:rPr>
                <w:rFonts w:hint="eastAsia" w:ascii="宋体" w:hAnsi="宋体" w:cs="Arial"/>
                <w:spacing w:val="-6"/>
                <w:sz w:val="21"/>
                <w:szCs w:val="21"/>
              </w:rPr>
              <w:t>持续改进</w:t>
            </w:r>
          </w:p>
        </w:tc>
        <w:tc>
          <w:tcPr>
            <w:tcW w:w="960" w:type="dxa"/>
          </w:tcPr>
          <w:p>
            <w:pPr>
              <w:spacing w:line="360" w:lineRule="auto"/>
              <w:rPr>
                <w:rFonts w:hint="default"/>
                <w:sz w:val="21"/>
                <w:szCs w:val="21"/>
                <w:lang w:val="en-US"/>
              </w:rPr>
            </w:pPr>
            <w:r>
              <w:rPr>
                <w:rFonts w:hint="eastAsia"/>
                <w:sz w:val="21"/>
                <w:szCs w:val="21"/>
                <w:lang w:val="en-US" w:eastAsia="zh-CN"/>
              </w:rPr>
              <w:t>QEO10.3</w:t>
            </w:r>
          </w:p>
        </w:tc>
        <w:tc>
          <w:tcPr>
            <w:tcW w:w="10004" w:type="dxa"/>
          </w:tcPr>
          <w:p>
            <w:pPr>
              <w:spacing w:line="360" w:lineRule="auto"/>
              <w:ind w:firstLine="420" w:firstLineChars="200"/>
              <w:rPr>
                <w:rFonts w:hint="eastAsia"/>
              </w:rPr>
            </w:pPr>
            <w:r>
              <w:rPr>
                <w:rFonts w:hint="eastAsia"/>
              </w:rPr>
              <w:t>总经理</w:t>
            </w:r>
            <w:r>
              <w:rPr>
                <w:rFonts w:hint="eastAsia"/>
                <w:lang w:val="en-US" w:eastAsia="zh-CN"/>
              </w:rPr>
              <w:t>介绍，</w:t>
            </w:r>
            <w:r>
              <w:rPr>
                <w:rFonts w:hint="eastAsia"/>
              </w:rPr>
              <w:t>通过考虑管理评审的分析、评价的结果，以及管理评审的输出，确定是否存在持续改进的需求或机会，促进质量、环境和职业健康安全管理体系的持续改进。</w:t>
            </w:r>
          </w:p>
          <w:p>
            <w:pPr>
              <w:pStyle w:val="2"/>
              <w:rPr>
                <w:rFonts w:hint="eastAsia" w:ascii="宋体" w:hAnsi="宋体" w:eastAsia="宋体" w:cs="宋体"/>
                <w:color w:val="auto"/>
                <w:sz w:val="21"/>
                <w:szCs w:val="21"/>
              </w:rPr>
            </w:pPr>
          </w:p>
          <w:p>
            <w:pPr>
              <w:pStyle w:val="2"/>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基本符合</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cs="Arial"/>
                <w:spacing w:val="-6"/>
                <w:sz w:val="21"/>
                <w:szCs w:val="21"/>
              </w:rPr>
            </w:pPr>
            <w:r>
              <w:rPr>
                <w:rFonts w:hint="eastAsia" w:ascii="宋体" w:hAnsi="宋体"/>
                <w:sz w:val="21"/>
                <w:szCs w:val="21"/>
              </w:rPr>
              <w:t>产品质量状况(包括质量/环境事件、顾客投诉、监督部门抽查/监测等)。</w:t>
            </w:r>
          </w:p>
        </w:tc>
        <w:tc>
          <w:tcPr>
            <w:tcW w:w="960" w:type="dxa"/>
          </w:tcPr>
          <w:p>
            <w:pPr>
              <w:spacing w:line="360" w:lineRule="auto"/>
              <w:rPr>
                <w:rFonts w:hint="eastAsia"/>
                <w:sz w:val="21"/>
                <w:szCs w:val="21"/>
                <w:lang w:val="en-US" w:eastAsia="zh-CN"/>
              </w:rPr>
            </w:pPr>
          </w:p>
        </w:tc>
        <w:tc>
          <w:tcPr>
            <w:tcW w:w="10004" w:type="dxa"/>
          </w:tcPr>
          <w:p>
            <w:pPr>
              <w:spacing w:line="360" w:lineRule="auto"/>
              <w:ind w:firstLine="420" w:firstLineChars="200"/>
              <w:rPr>
                <w:rFonts w:hint="eastAsia"/>
                <w:sz w:val="21"/>
                <w:szCs w:val="21"/>
              </w:rPr>
            </w:pPr>
            <w:r>
              <w:rPr>
                <w:rFonts w:hint="eastAsia"/>
                <w:sz w:val="21"/>
                <w:szCs w:val="21"/>
              </w:rPr>
              <w:t>经核查企业经营无特定行业资质许可要求。</w:t>
            </w:r>
          </w:p>
          <w:p>
            <w:pPr>
              <w:pStyle w:val="16"/>
              <w:spacing w:line="360" w:lineRule="auto"/>
              <w:ind w:firstLine="420" w:firstLineChars="200"/>
              <w:rPr>
                <w:rFonts w:hint="eastAsia"/>
                <w:sz w:val="21"/>
                <w:szCs w:val="21"/>
              </w:rPr>
            </w:pPr>
            <w:r>
              <w:rPr>
                <w:rFonts w:hint="eastAsia"/>
                <w:sz w:val="21"/>
                <w:szCs w:val="21"/>
              </w:rPr>
              <w:t>现场核查，该公司执行的产品标准为GB/T 18983-2017</w:t>
            </w:r>
            <w:r>
              <w:rPr>
                <w:rFonts w:hint="eastAsia"/>
                <w:sz w:val="21"/>
                <w:szCs w:val="21"/>
              </w:rPr>
              <w:tab/>
            </w:r>
            <w:r>
              <w:rPr>
                <w:rFonts w:hint="eastAsia"/>
                <w:sz w:val="21"/>
                <w:szCs w:val="21"/>
              </w:rPr>
              <w:t>淬火-回火弹簧钢丝</w:t>
            </w:r>
            <w:r>
              <w:rPr>
                <w:rFonts w:hint="eastAsia"/>
                <w:sz w:val="21"/>
                <w:szCs w:val="21"/>
                <w:lang w:eastAsia="zh-CN"/>
              </w:rPr>
              <w:t>，GB/T 24588-2019</w:t>
            </w:r>
            <w:r>
              <w:rPr>
                <w:rFonts w:hint="eastAsia"/>
                <w:sz w:val="21"/>
                <w:szCs w:val="21"/>
                <w:lang w:eastAsia="zh-CN"/>
              </w:rPr>
              <w:tab/>
            </w:r>
            <w:r>
              <w:rPr>
                <w:rFonts w:hint="eastAsia"/>
                <w:sz w:val="21"/>
                <w:szCs w:val="21"/>
                <w:lang w:eastAsia="zh-CN"/>
              </w:rPr>
              <w:t>不锈弹簧钢丝，YB/T 5220-2014</w:t>
            </w:r>
            <w:r>
              <w:rPr>
                <w:rFonts w:hint="eastAsia"/>
                <w:sz w:val="21"/>
                <w:szCs w:val="21"/>
                <w:lang w:eastAsia="zh-CN"/>
              </w:rPr>
              <w:tab/>
            </w:r>
            <w:r>
              <w:rPr>
                <w:rFonts w:hint="eastAsia"/>
                <w:sz w:val="21"/>
                <w:szCs w:val="21"/>
                <w:lang w:eastAsia="zh-CN"/>
              </w:rPr>
              <w:t>非机械弹簧用碳素弹簧钢丝</w:t>
            </w:r>
            <w:r>
              <w:rPr>
                <w:rFonts w:hint="eastAsia"/>
                <w:sz w:val="21"/>
                <w:szCs w:val="21"/>
              </w:rPr>
              <w:t>。所有产品均为二方验收确认。年度内无重大客户批次退货及投诉、质量事故发生。</w:t>
            </w:r>
          </w:p>
          <w:p>
            <w:pPr>
              <w:pStyle w:val="16"/>
              <w:spacing w:line="360" w:lineRule="auto"/>
              <w:ind w:firstLine="420" w:firstLineChars="200"/>
              <w:rPr>
                <w:rFonts w:hint="eastAsia"/>
                <w:sz w:val="21"/>
                <w:szCs w:val="21"/>
              </w:rPr>
            </w:pPr>
            <w:r>
              <w:rPr>
                <w:rFonts w:hint="eastAsia"/>
                <w:sz w:val="21"/>
                <w:szCs w:val="21"/>
                <w:lang w:val="en-US" w:eastAsia="zh-CN"/>
              </w:rPr>
              <w:t>现场查到</w:t>
            </w:r>
            <w:r>
              <w:rPr>
                <w:rFonts w:hint="eastAsia"/>
                <w:sz w:val="21"/>
                <w:szCs w:val="21"/>
              </w:rPr>
              <w:t>2021年4月6日高阳县应急管理局出具责令限期整改指令书：责令高阳县昌泰弹簧制造有限公司整改应急预案未及时修订；生产车间配电柜警示标识脱落、配电柜操作区域未设置绝缘胶垫三项问题。有2021年4月20日的整改复查意见书，行政处罚决定书及告知书，企业缴费收据</w:t>
            </w:r>
            <w:r>
              <w:rPr>
                <w:rFonts w:hint="eastAsia"/>
                <w:sz w:val="21"/>
                <w:szCs w:val="21"/>
                <w:lang w:eastAsia="zh-CN"/>
              </w:rPr>
              <w:t>，</w:t>
            </w:r>
            <w:r>
              <w:rPr>
                <w:rFonts w:hint="eastAsia"/>
                <w:sz w:val="21"/>
                <w:szCs w:val="21"/>
                <w:lang w:val="en-US" w:eastAsia="zh-CN"/>
              </w:rPr>
              <w:t>证实企业已按监管机构要求整改完毕</w:t>
            </w:r>
            <w:r>
              <w:rPr>
                <w:rFonts w:hint="eastAsia"/>
                <w:sz w:val="21"/>
                <w:szCs w:val="21"/>
              </w:rPr>
              <w:t>。</w:t>
            </w:r>
          </w:p>
          <w:p>
            <w:pPr>
              <w:pStyle w:val="2"/>
              <w:spacing w:line="360" w:lineRule="auto"/>
              <w:ind w:firstLine="460" w:firstLineChars="200"/>
              <w:rPr>
                <w:rFonts w:hint="default" w:eastAsia="宋体"/>
                <w:sz w:val="21"/>
                <w:szCs w:val="21"/>
                <w:lang w:val="en-US" w:eastAsia="zh-CN"/>
              </w:rPr>
            </w:pPr>
            <w:r>
              <w:rPr>
                <w:rFonts w:hint="eastAsia"/>
                <w:sz w:val="21"/>
                <w:szCs w:val="21"/>
                <w:lang w:val="en-US" w:eastAsia="zh-CN"/>
              </w:rPr>
              <w:t>通过网络查看国家企业信用信息公示系统，未发现企业有主管单位抽查、检查、行政处罚记录。</w:t>
            </w:r>
          </w:p>
        </w:tc>
        <w:tc>
          <w:tcPr>
            <w:tcW w:w="1585" w:type="dxa"/>
          </w:tcPr>
          <w:p>
            <w:pPr>
              <w:spacing w:line="360" w:lineRule="auto"/>
              <w:rPr>
                <w:sz w:val="21"/>
                <w:szCs w:val="21"/>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554997"/>
    <w:multiLevelType w:val="singleLevel"/>
    <w:tmpl w:val="F255499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15B0765"/>
    <w:rsid w:val="03431864"/>
    <w:rsid w:val="03D270B5"/>
    <w:rsid w:val="044C330C"/>
    <w:rsid w:val="05412745"/>
    <w:rsid w:val="055D1510"/>
    <w:rsid w:val="065E0A20"/>
    <w:rsid w:val="0661309E"/>
    <w:rsid w:val="0665688A"/>
    <w:rsid w:val="06E72CB0"/>
    <w:rsid w:val="07944DAE"/>
    <w:rsid w:val="086F75C9"/>
    <w:rsid w:val="08FE4543"/>
    <w:rsid w:val="097D5448"/>
    <w:rsid w:val="09D65B51"/>
    <w:rsid w:val="09EE6E0E"/>
    <w:rsid w:val="0A790B64"/>
    <w:rsid w:val="0A83453A"/>
    <w:rsid w:val="0AF61E5A"/>
    <w:rsid w:val="0B8D73DF"/>
    <w:rsid w:val="0B8F091F"/>
    <w:rsid w:val="0C4B09E8"/>
    <w:rsid w:val="0CEF0CD8"/>
    <w:rsid w:val="0CF54541"/>
    <w:rsid w:val="0D186481"/>
    <w:rsid w:val="0E2C21E4"/>
    <w:rsid w:val="0F8E5012"/>
    <w:rsid w:val="1051033C"/>
    <w:rsid w:val="1097590F"/>
    <w:rsid w:val="10B56F92"/>
    <w:rsid w:val="110F36F7"/>
    <w:rsid w:val="113666E8"/>
    <w:rsid w:val="114F6948"/>
    <w:rsid w:val="137C48D9"/>
    <w:rsid w:val="13D50C28"/>
    <w:rsid w:val="13E14E9D"/>
    <w:rsid w:val="13F13AA5"/>
    <w:rsid w:val="141170ED"/>
    <w:rsid w:val="141C0605"/>
    <w:rsid w:val="14BD278A"/>
    <w:rsid w:val="15712BD2"/>
    <w:rsid w:val="169F63ED"/>
    <w:rsid w:val="16E3365C"/>
    <w:rsid w:val="16F93FD7"/>
    <w:rsid w:val="19086316"/>
    <w:rsid w:val="19470E61"/>
    <w:rsid w:val="1A026772"/>
    <w:rsid w:val="1A260C09"/>
    <w:rsid w:val="1A3F7EC0"/>
    <w:rsid w:val="1A416522"/>
    <w:rsid w:val="1AB35BA2"/>
    <w:rsid w:val="1AF267AE"/>
    <w:rsid w:val="1B7156DA"/>
    <w:rsid w:val="1B8B6B38"/>
    <w:rsid w:val="1BA402BE"/>
    <w:rsid w:val="1C3821A0"/>
    <w:rsid w:val="1C924B4B"/>
    <w:rsid w:val="1CAE22D1"/>
    <w:rsid w:val="1CDE3F1B"/>
    <w:rsid w:val="1D3A5FA0"/>
    <w:rsid w:val="1D7A50B6"/>
    <w:rsid w:val="1D8901EF"/>
    <w:rsid w:val="1EA6109D"/>
    <w:rsid w:val="1FD55B0C"/>
    <w:rsid w:val="1FE821AF"/>
    <w:rsid w:val="20DA5F45"/>
    <w:rsid w:val="226812AF"/>
    <w:rsid w:val="22791318"/>
    <w:rsid w:val="22BB6B16"/>
    <w:rsid w:val="22D16A5E"/>
    <w:rsid w:val="231057D9"/>
    <w:rsid w:val="240C1F5C"/>
    <w:rsid w:val="24AE34FB"/>
    <w:rsid w:val="25434AC4"/>
    <w:rsid w:val="257D4C7B"/>
    <w:rsid w:val="26293AEA"/>
    <w:rsid w:val="26492DAF"/>
    <w:rsid w:val="275D3421"/>
    <w:rsid w:val="28AF2822"/>
    <w:rsid w:val="2A1077E6"/>
    <w:rsid w:val="2A2C4439"/>
    <w:rsid w:val="2B08148B"/>
    <w:rsid w:val="2B4F0E68"/>
    <w:rsid w:val="2B832401"/>
    <w:rsid w:val="2C9B1F6B"/>
    <w:rsid w:val="2E334A71"/>
    <w:rsid w:val="2EBD4E53"/>
    <w:rsid w:val="2F3B1E2F"/>
    <w:rsid w:val="2F4D1B62"/>
    <w:rsid w:val="301B2C2C"/>
    <w:rsid w:val="3146400C"/>
    <w:rsid w:val="31556AAC"/>
    <w:rsid w:val="319B4E07"/>
    <w:rsid w:val="31A305BA"/>
    <w:rsid w:val="32B16170"/>
    <w:rsid w:val="331309CD"/>
    <w:rsid w:val="33345E0A"/>
    <w:rsid w:val="34711E4F"/>
    <w:rsid w:val="35427FD9"/>
    <w:rsid w:val="35BD64C5"/>
    <w:rsid w:val="35EC3BBF"/>
    <w:rsid w:val="361A4F3F"/>
    <w:rsid w:val="361E7731"/>
    <w:rsid w:val="36B03731"/>
    <w:rsid w:val="36DB5CA6"/>
    <w:rsid w:val="37064C9C"/>
    <w:rsid w:val="37357164"/>
    <w:rsid w:val="373B6744"/>
    <w:rsid w:val="37520961"/>
    <w:rsid w:val="384155FA"/>
    <w:rsid w:val="389F2568"/>
    <w:rsid w:val="38A65681"/>
    <w:rsid w:val="392C0A3B"/>
    <w:rsid w:val="39AB528F"/>
    <w:rsid w:val="39E03989"/>
    <w:rsid w:val="39F13BDC"/>
    <w:rsid w:val="3AFD63EA"/>
    <w:rsid w:val="3B082DE1"/>
    <w:rsid w:val="3BBA0580"/>
    <w:rsid w:val="3BBF16F2"/>
    <w:rsid w:val="3CE11C2C"/>
    <w:rsid w:val="3E725142"/>
    <w:rsid w:val="3EA572C5"/>
    <w:rsid w:val="3F7153F9"/>
    <w:rsid w:val="401F30A7"/>
    <w:rsid w:val="40284903"/>
    <w:rsid w:val="418E2292"/>
    <w:rsid w:val="41B25855"/>
    <w:rsid w:val="41D66526"/>
    <w:rsid w:val="41DE664A"/>
    <w:rsid w:val="42034393"/>
    <w:rsid w:val="421740B5"/>
    <w:rsid w:val="42402E61"/>
    <w:rsid w:val="43086074"/>
    <w:rsid w:val="433D78CE"/>
    <w:rsid w:val="434D7B18"/>
    <w:rsid w:val="43872CA0"/>
    <w:rsid w:val="444A6219"/>
    <w:rsid w:val="445C6678"/>
    <w:rsid w:val="44970D85"/>
    <w:rsid w:val="4589726A"/>
    <w:rsid w:val="45B53A84"/>
    <w:rsid w:val="472471F5"/>
    <w:rsid w:val="47C45C9A"/>
    <w:rsid w:val="47E51320"/>
    <w:rsid w:val="48054931"/>
    <w:rsid w:val="491A49DF"/>
    <w:rsid w:val="496B4C67"/>
    <w:rsid w:val="4A471230"/>
    <w:rsid w:val="4D163FF8"/>
    <w:rsid w:val="4E0631B0"/>
    <w:rsid w:val="4E4963AB"/>
    <w:rsid w:val="4E9C10C9"/>
    <w:rsid w:val="4EC520A4"/>
    <w:rsid w:val="4ECA5E1F"/>
    <w:rsid w:val="4F782F40"/>
    <w:rsid w:val="4FDB3401"/>
    <w:rsid w:val="50CC3BD1"/>
    <w:rsid w:val="515E50B1"/>
    <w:rsid w:val="51A4340C"/>
    <w:rsid w:val="52723BA8"/>
    <w:rsid w:val="529D2670"/>
    <w:rsid w:val="532145E9"/>
    <w:rsid w:val="54414F42"/>
    <w:rsid w:val="548D462B"/>
    <w:rsid w:val="54B576DE"/>
    <w:rsid w:val="56565E35"/>
    <w:rsid w:val="56C37E91"/>
    <w:rsid w:val="56CD2771"/>
    <w:rsid w:val="57607A19"/>
    <w:rsid w:val="58DE0D33"/>
    <w:rsid w:val="597F1D83"/>
    <w:rsid w:val="5A3F20CD"/>
    <w:rsid w:val="5A4E23AA"/>
    <w:rsid w:val="5A6158B3"/>
    <w:rsid w:val="5AF54CD9"/>
    <w:rsid w:val="5B77438F"/>
    <w:rsid w:val="5B94004E"/>
    <w:rsid w:val="5BF136F2"/>
    <w:rsid w:val="5C2B5C87"/>
    <w:rsid w:val="5CB637CE"/>
    <w:rsid w:val="5D360438"/>
    <w:rsid w:val="5D546C86"/>
    <w:rsid w:val="5DC81B23"/>
    <w:rsid w:val="5E865C6A"/>
    <w:rsid w:val="5EB14DF3"/>
    <w:rsid w:val="5EC27E6A"/>
    <w:rsid w:val="5EF84D97"/>
    <w:rsid w:val="5F93061C"/>
    <w:rsid w:val="5FC829BC"/>
    <w:rsid w:val="5FD038A3"/>
    <w:rsid w:val="60661BBD"/>
    <w:rsid w:val="60BA5258"/>
    <w:rsid w:val="60D84E80"/>
    <w:rsid w:val="625E0A6D"/>
    <w:rsid w:val="649359D3"/>
    <w:rsid w:val="64D90FBA"/>
    <w:rsid w:val="658C3EAF"/>
    <w:rsid w:val="65921AA2"/>
    <w:rsid w:val="659E761B"/>
    <w:rsid w:val="65F8742B"/>
    <w:rsid w:val="66846F11"/>
    <w:rsid w:val="66CA526B"/>
    <w:rsid w:val="67CD3358"/>
    <w:rsid w:val="67D45788"/>
    <w:rsid w:val="6864524C"/>
    <w:rsid w:val="68D8336E"/>
    <w:rsid w:val="69524642"/>
    <w:rsid w:val="695A5DC4"/>
    <w:rsid w:val="69C02956"/>
    <w:rsid w:val="69D5038D"/>
    <w:rsid w:val="6A941E18"/>
    <w:rsid w:val="6AF428B7"/>
    <w:rsid w:val="6B6F63E1"/>
    <w:rsid w:val="6B95409A"/>
    <w:rsid w:val="6BE85816"/>
    <w:rsid w:val="6BEF307E"/>
    <w:rsid w:val="6C5850C7"/>
    <w:rsid w:val="6DE00001"/>
    <w:rsid w:val="6E5C0E9F"/>
    <w:rsid w:val="6E9E7FBA"/>
    <w:rsid w:val="6EE92007"/>
    <w:rsid w:val="70B27B6A"/>
    <w:rsid w:val="71926986"/>
    <w:rsid w:val="722376D0"/>
    <w:rsid w:val="72831ADA"/>
    <w:rsid w:val="728A58AF"/>
    <w:rsid w:val="72CA214F"/>
    <w:rsid w:val="73C05DFA"/>
    <w:rsid w:val="73EE128D"/>
    <w:rsid w:val="74501E86"/>
    <w:rsid w:val="746B14F3"/>
    <w:rsid w:val="74D07EF1"/>
    <w:rsid w:val="769767EC"/>
    <w:rsid w:val="76C3673C"/>
    <w:rsid w:val="775F438F"/>
    <w:rsid w:val="77882D05"/>
    <w:rsid w:val="77E837A3"/>
    <w:rsid w:val="783B1B25"/>
    <w:rsid w:val="78CC43CD"/>
    <w:rsid w:val="792D7B74"/>
    <w:rsid w:val="79E85CDC"/>
    <w:rsid w:val="7A033D26"/>
    <w:rsid w:val="7A413983"/>
    <w:rsid w:val="7B0F19C4"/>
    <w:rsid w:val="7C4C4014"/>
    <w:rsid w:val="7CE56503"/>
    <w:rsid w:val="7DA179EF"/>
    <w:rsid w:val="7E113A54"/>
    <w:rsid w:val="7E4E602F"/>
    <w:rsid w:val="7F5758E4"/>
    <w:rsid w:val="7FE769CB"/>
    <w:rsid w:val="7FF54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iPriority w:val="0"/>
    <w:pPr>
      <w:spacing w:after="120"/>
    </w:pPr>
  </w:style>
  <w:style w:type="paragraph" w:styleId="4">
    <w:name w:val="toc 3"/>
    <w:basedOn w:val="1"/>
    <w:next w:val="1"/>
    <w:qFormat/>
    <w:uiPriority w:val="0"/>
    <w:pPr>
      <w:ind w:left="420"/>
      <w:jc w:val="left"/>
    </w:pPr>
    <w:rPr>
      <w:i/>
      <w:iCs/>
    </w:rPr>
  </w:style>
  <w:style w:type="paragraph" w:styleId="5">
    <w:name w:val="Plain Text"/>
    <w:basedOn w:val="1"/>
    <w:uiPriority w:val="0"/>
    <w:rPr>
      <w:rFonts w:ascii="宋体"/>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3"/>
    <w:qFormat/>
    <w:uiPriority w:val="0"/>
    <w:pPr>
      <w:ind w:firstLine="420" w:firstLineChars="100"/>
    </w:pPr>
    <w:rPr>
      <w:szCs w:val="20"/>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No Spacing"/>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
    <w:name w:val="{936e4e6e-5310-4269-9eba-5080d9f28de4}"/>
    <w:uiPriority w:val="0"/>
    <w:pPr>
      <w:widowControl w:val="0"/>
      <w:spacing w:after="0" w:line="24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8</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2021-12-13T01:18:56Z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7C414FA6A61B4D498762AFAF562605D8</vt:lpwstr>
  </property>
  <property fmtid="{D5CDD505-2E9C-101B-9397-08002B2CF9AE}" pid="3" name="KSOProductBuildVer">
    <vt:lpwstr>2052-11.1.0.11115</vt:lpwstr>
  </property>
</Properties>
</file>