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center"/>
        <w:rPr>
          <w:rFonts w:ascii="宋体"/>
          <w:b/>
          <w:sz w:val="18"/>
          <w:szCs w:val="18"/>
        </w:rPr>
      </w:pPr>
      <w:bookmarkStart w:id="9" w:name="_GoBack"/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76200</wp:posOffset>
            </wp:positionV>
            <wp:extent cx="6659245" cy="8806815"/>
            <wp:effectExtent l="0" t="0" r="8255" b="6985"/>
            <wp:wrapNone/>
            <wp:docPr id="2" name="图片 2" descr="C:/Users/hb/AppData/Local/Temp/picturecompress_2022010415222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b/AppData/Local/Temp/picturecompress_20220104152221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880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9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高阳县昌泰弹簧制造有限公司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喻荣秋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-339090</wp:posOffset>
                  </wp:positionV>
                  <wp:extent cx="3968750" cy="772795"/>
                  <wp:effectExtent l="0" t="0" r="635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关键过程：拉拔过程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特殊过程：淬火过程。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操作过程制定</w:t>
            </w:r>
            <w:r>
              <w:rPr>
                <w:rFonts w:hint="eastAsia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《拉丝操作规程》、《淬火工作要求》、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《</w:t>
            </w:r>
            <w:r>
              <w:rPr>
                <w:rFonts w:hint="eastAsia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技术协议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》，提供《</w:t>
            </w:r>
            <w:r>
              <w:rPr>
                <w:rFonts w:hint="eastAsia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生产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过程控制记录》对特殊工序进行过程监控，</w:t>
            </w:r>
            <w:r>
              <w:rPr>
                <w:rFonts w:hint="eastAsia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加工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结束后对成品进行成品检测，检测合格方能入库销售。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固体废弃物（含危废）、噪声、潜在火灾和爆炸、废气。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运行控制固废分类管理分类处理；日常节约使用；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配备消防器材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禁烟火；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日常检查、日常培训教育、应急演练等运行控制措施等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pacing w:line="280" w:lineRule="exact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潜在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火灾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和爆炸、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机械伤害、意外伤害、触电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主要控制措施：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危险源控制执行管理方案、制订作业指导文件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配备消防器材、日常检查、日常培训教育、应急演练等运行控制措施等。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</w:t>
            </w:r>
            <w:r>
              <w:rPr>
                <w:rFonts w:hint="eastAsia"/>
                <w:b/>
                <w:sz w:val="20"/>
                <w:lang w:eastAsia="zh-CN"/>
              </w:rPr>
              <w:t>、《</w:t>
            </w:r>
            <w:r>
              <w:rPr>
                <w:rFonts w:hint="eastAsia"/>
                <w:b/>
                <w:sz w:val="20"/>
              </w:rPr>
              <w:t>河北省环境污染防治监督管理办法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一般工业固体废弃物贮存、处置场污染物控制标准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河北省减少污染物排放条例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机关、团体、企业、事业单位消防安全管理规定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仓库防火安全管理规则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国家经贸委关于印发劳动防护用品配备标准（试行）的通知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河北省女职工劳动保护实施办法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河北省劳动安全卫生条例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劳动保护用品管理规定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t>河北省消防条例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</w:rPr>
              <w:fldChar w:fldCharType="begin"/>
            </w:r>
            <w:r>
              <w:rPr>
                <w:rFonts w:hint="eastAsia"/>
                <w:b/>
                <w:sz w:val="20"/>
              </w:rPr>
              <w:instrText xml:space="preserve"> HYPERLINK "http://www.dffy.com/faguixiazai/xzf/200405/20040505212509.htm" \t "_blank" </w:instrText>
            </w:r>
            <w:r>
              <w:rPr>
                <w:rFonts w:hint="eastAsia"/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工伤保险条例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YB/T 5365-2006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油淬火－回火弹簧钢丝用热轧盘条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GB/T 24588-2019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不锈弹簧钢丝</w:t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2021.12.10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D335C0"/>
    <w:rsid w:val="06BD786E"/>
    <w:rsid w:val="08A51FC2"/>
    <w:rsid w:val="0D3B0286"/>
    <w:rsid w:val="0DF04D08"/>
    <w:rsid w:val="155A17D9"/>
    <w:rsid w:val="2E4752D1"/>
    <w:rsid w:val="30267D71"/>
    <w:rsid w:val="32142A2B"/>
    <w:rsid w:val="3E943809"/>
    <w:rsid w:val="42AA04E2"/>
    <w:rsid w:val="43746F5B"/>
    <w:rsid w:val="4B157A50"/>
    <w:rsid w:val="4F380341"/>
    <w:rsid w:val="5F2F7659"/>
    <w:rsid w:val="5F4F5DFF"/>
    <w:rsid w:val="62186984"/>
    <w:rsid w:val="63A501AA"/>
    <w:rsid w:val="66FF61CC"/>
    <w:rsid w:val="6A1008C5"/>
    <w:rsid w:val="75367E25"/>
    <w:rsid w:val="7DE27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2022-01-04T07:22:38Z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