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r>
        <w:rPr>
          <w:rFonts w:hint="eastAsia"/>
          <w:sz w:val="32"/>
          <w:szCs w:val="32"/>
          <w:u w:val="single"/>
          <w:lang w:eastAsia="zh-CN"/>
        </w:rPr>
        <w:t>1286-2021-QEO</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浙江省震灾风险防治中心</w:t>
      </w:r>
    </w:p>
    <w:p>
      <w:pPr>
        <w:rPr>
          <w:sz w:val="28"/>
          <w:szCs w:val="28"/>
        </w:rPr>
      </w:pPr>
    </w:p>
    <w:p>
      <w:pPr>
        <w:rPr>
          <w:sz w:val="28"/>
          <w:szCs w:val="28"/>
        </w:rPr>
      </w:pPr>
      <w:r>
        <w:rPr>
          <w:rFonts w:hint="eastAsia"/>
          <w:sz w:val="28"/>
          <w:szCs w:val="28"/>
        </w:rPr>
        <w:t>审核体系：</w:t>
      </w:r>
    </w:p>
    <w:p>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浙江省震灾风险防治中心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浙江省杭州市西湖区古荡湾塘苗路7号</w:t>
            </w:r>
          </w:p>
        </w:tc>
        <w:tc>
          <w:tcPr>
            <w:tcW w:w="1242" w:type="dxa"/>
            <w:vMerge w:val="restart"/>
            <w:vAlign w:val="center"/>
          </w:tcPr>
          <w:p>
            <w:r>
              <w:rPr>
                <w:rFonts w:hint="eastAsia"/>
              </w:rPr>
              <w:t>邮编</w:t>
            </w:r>
          </w:p>
        </w:tc>
        <w:tc>
          <w:tcPr>
            <w:tcW w:w="1771" w:type="dxa"/>
            <w:vAlign w:val="top"/>
          </w:tcPr>
          <w:p>
            <w: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lang w:eastAsia="zh-CN"/>
              </w:rPr>
              <w:t>浙江省杭州市西湖区古荡湾塘苗路7号</w:t>
            </w:r>
          </w:p>
        </w:tc>
        <w:tc>
          <w:tcPr>
            <w:tcW w:w="1242" w:type="dxa"/>
            <w:vMerge w:val="continue"/>
            <w:vAlign w:val="center"/>
          </w:tcPr>
          <w:p/>
        </w:tc>
        <w:tc>
          <w:tcPr>
            <w:tcW w:w="1771" w:type="dxa"/>
            <w:vAlign w:val="top"/>
          </w:tcPr>
          <w:p>
            <w: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盛特奇</w:t>
            </w:r>
          </w:p>
        </w:tc>
        <w:tc>
          <w:tcPr>
            <w:tcW w:w="1313" w:type="dxa"/>
            <w:vAlign w:val="center"/>
          </w:tcPr>
          <w:p>
            <w:r>
              <w:rPr>
                <w:rFonts w:hint="eastAsia"/>
              </w:rPr>
              <w:t>电话.</w:t>
            </w:r>
          </w:p>
        </w:tc>
        <w:tc>
          <w:tcPr>
            <w:tcW w:w="2180" w:type="dxa"/>
            <w:vAlign w:val="center"/>
          </w:tcPr>
          <w:p>
            <w:r>
              <w:t>0571-86472076</w:t>
            </w:r>
          </w:p>
        </w:tc>
        <w:tc>
          <w:tcPr>
            <w:tcW w:w="1242" w:type="dxa"/>
            <w:vAlign w:val="center"/>
          </w:tcPr>
          <w:p>
            <w:r>
              <w:rPr>
                <w:rFonts w:hint="eastAsia"/>
              </w:rPr>
              <w:t>传真</w:t>
            </w:r>
          </w:p>
        </w:tc>
        <w:tc>
          <w:tcPr>
            <w:tcW w:w="1771" w:type="dxa"/>
          </w:tcPr>
          <w:p>
            <w:bookmarkStart w:id="3" w:name="联系人传真"/>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余刚群</w:t>
            </w:r>
          </w:p>
        </w:tc>
        <w:tc>
          <w:tcPr>
            <w:tcW w:w="1313" w:type="dxa"/>
            <w:vAlign w:val="center"/>
          </w:tcPr>
          <w:p>
            <w:r>
              <w:rPr>
                <w:rFonts w:hint="eastAsia"/>
              </w:rPr>
              <w:t>管理者代表</w:t>
            </w:r>
          </w:p>
        </w:tc>
        <w:tc>
          <w:tcPr>
            <w:tcW w:w="2180" w:type="dxa"/>
            <w:vAlign w:val="top"/>
          </w:tcPr>
          <w:p>
            <w:r>
              <w:t>余刚群</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ind w:left="360" w:hanging="360"/>
              <w:rPr>
                <w:rFonts w:ascii="宋体"/>
                <w:color w:val="000000"/>
                <w:szCs w:val="21"/>
              </w:rPr>
            </w:pPr>
            <w:r>
              <w:rPr>
                <w:rFonts w:hint="eastAsia" w:ascii="宋体"/>
                <w:color w:val="000000"/>
                <w:szCs w:val="21"/>
              </w:rPr>
              <w:t>业务流程图：</w:t>
            </w:r>
          </w:p>
          <w:p>
            <w:pPr>
              <w:rPr>
                <w:rFonts w:hint="default"/>
                <w:color w:val="000000"/>
                <w:lang w:val="en-US" w:eastAsia="zh-CN"/>
              </w:rPr>
            </w:pPr>
            <w:r>
              <w:rPr>
                <w:rFonts w:hint="eastAsia"/>
                <w:color w:val="000000"/>
                <w:lang w:val="en-US" w:eastAsia="zh-CN"/>
              </w:rPr>
              <w:t>业务接受委托——签订合同——项目下放（项目组）——项目检测——形成评价报告——专家组评审——提交评价报告</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4" w:name="审核日期"/>
            <w:r>
              <w:rPr>
                <w:rFonts w:hint="eastAsia"/>
              </w:rPr>
              <w:t>2021年12月15日 下午至2021年12月17日 上午</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5" w:name="初审"/>
            <w:r>
              <w:rPr>
                <w:rFonts w:hint="eastAsia"/>
              </w:rPr>
              <w:t>■</w:t>
            </w:r>
            <w:bookmarkEnd w:id="5"/>
            <w:r>
              <w:rPr>
                <w:rFonts w:hint="eastAsia"/>
              </w:rPr>
              <w:t>初审二阶段：评价组织管理体系建立、实施运行的符合性及有效性，以确定是否推荐认证注册。</w:t>
            </w:r>
          </w:p>
          <w:p>
            <w:bookmarkStart w:id="6" w:name="监督勾选"/>
            <w:r>
              <w:rPr>
                <w:rFonts w:hint="eastAsia"/>
              </w:rPr>
              <w:t>□</w:t>
            </w:r>
            <w:bookmarkEnd w:id="6"/>
            <w:r>
              <w:rPr>
                <w:rFonts w:hint="eastAsia"/>
              </w:rPr>
              <w:t>监督审核：评价组织管理体系的持续符合性和有效性，以确定是否推荐保持认证证书。</w:t>
            </w:r>
          </w:p>
          <w:p>
            <w:bookmarkStart w:id="7" w:name="再认证勾选Add1"/>
            <w:r>
              <w:rPr>
                <w:rFonts w:hint="eastAsia"/>
              </w:rPr>
              <w:t>□</w:t>
            </w:r>
            <w:bookmarkEnd w:id="7"/>
            <w:r>
              <w:rPr>
                <w:rFonts w:hint="eastAsia"/>
              </w:rPr>
              <w:t>再认证：评价组织管理体系整体的持续符合性和有效性，以确定是否推荐更新认证并换发认证证书。</w:t>
            </w:r>
          </w:p>
          <w:p>
            <w:bookmarkStart w:id="8" w:name="扩项勾选"/>
            <w:r>
              <w:rPr>
                <w:rFonts w:hint="eastAsia"/>
              </w:rPr>
              <w:t>□</w:t>
            </w:r>
            <w:bookmarkEnd w:id="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0" w:name="QJ勾选Add1"/>
            <w:r>
              <w:rPr>
                <w:rFonts w:hint="eastAsia"/>
                <w:lang w:val="de-DE"/>
              </w:rPr>
              <w:t>□</w:t>
            </w:r>
            <w:bookmarkEnd w:id="10"/>
            <w:r>
              <w:rPr>
                <w:rFonts w:hint="eastAsia"/>
                <w:lang w:val="de-DE"/>
              </w:rPr>
              <w:t>GB/T 50430-2017</w:t>
            </w:r>
          </w:p>
          <w:p>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A3"/>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3" w:name="二阶段勾选"/>
            <w:r>
              <w:rPr>
                <w:rFonts w:hint="eastAsia"/>
              </w:rPr>
              <w:t>■</w:t>
            </w:r>
            <w:bookmarkEnd w:id="13"/>
            <w:r>
              <w:rPr>
                <w:rFonts w:hint="eastAsia"/>
              </w:rPr>
              <w:t>初审二阶段</w:t>
            </w:r>
            <w:bookmarkStart w:id="14" w:name="监督勾选Add1"/>
            <w:r>
              <w:rPr>
                <w:rFonts w:hint="eastAsia"/>
              </w:rPr>
              <w:t>□</w:t>
            </w:r>
            <w:bookmarkEnd w:id="14"/>
            <w:r>
              <w:rPr>
                <w:rFonts w:hint="eastAsia"/>
              </w:rPr>
              <w:t>监督第</w:t>
            </w:r>
            <w:bookmarkStart w:id="15" w:name="监督次数"/>
            <w:bookmarkEnd w:id="15"/>
            <w:r>
              <w:rPr>
                <w:rFonts w:hint="eastAsia"/>
              </w:rPr>
              <w:t>次监督审核</w:t>
            </w:r>
            <w:bookmarkStart w:id="16" w:name="再认证勾选"/>
            <w:r>
              <w:rPr>
                <w:rFonts w:hint="eastAsia"/>
              </w:rPr>
              <w:t>□</w:t>
            </w:r>
            <w:bookmarkEnd w:id="16"/>
            <w:r>
              <w:rPr>
                <w:rFonts w:hint="eastAsia"/>
              </w:rPr>
              <w:t>再认证</w:t>
            </w:r>
            <w:bookmarkStart w:id="17" w:name="扩项勾选Add1"/>
            <w:r>
              <w:rPr>
                <w:rFonts w:hint="eastAsia"/>
              </w:rPr>
              <w:t>□</w:t>
            </w:r>
            <w:bookmarkEnd w:id="1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bookmarkStart w:id="18" w:name="生产地址"/>
            <w:r>
              <w:rPr>
                <w:rFonts w:asciiTheme="minorEastAsia" w:hAnsiTheme="minorEastAsia" w:eastAsiaTheme="minorEastAsia"/>
                <w:sz w:val="20"/>
              </w:rPr>
              <w:t>浙江省杭州市西湖区古荡湾塘苗路7号</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lang w:eastAsia="zh-CN"/>
              </w:rPr>
            </w:pPr>
            <w:bookmarkStart w:id="19" w:name="审核范围"/>
            <w:r>
              <w:t>Q：</w:t>
            </w:r>
            <w:r>
              <w:rPr>
                <w:rFonts w:hint="eastAsia"/>
                <w:lang w:eastAsia="zh-CN"/>
              </w:rPr>
              <w:t>地震安全性评价服务</w:t>
            </w:r>
          </w:p>
          <w:p>
            <w:r>
              <w:t>E：</w:t>
            </w:r>
            <w:r>
              <w:rPr>
                <w:rFonts w:hint="eastAsia"/>
                <w:lang w:eastAsia="zh-CN"/>
              </w:rPr>
              <w:t>地震安全性评价服务</w:t>
            </w:r>
            <w:r>
              <w:t>所涉及场所的相关环境管理活动</w:t>
            </w:r>
          </w:p>
          <w:p>
            <w:r>
              <w:t>O：</w:t>
            </w:r>
            <w:r>
              <w:rPr>
                <w:rFonts w:hint="eastAsia"/>
                <w:lang w:eastAsia="zh-CN"/>
              </w:rPr>
              <w:t>地震安全性评价服务</w:t>
            </w:r>
            <w:r>
              <w:t>所涉及场所的相关职业健康安全管理活动</w:t>
            </w:r>
            <w:bookmarkEnd w:id="1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eastAsia="宋体"/>
                <w:lang w:eastAsia="zh-CN"/>
              </w:rPr>
            </w:pPr>
            <w:bookmarkStart w:id="20" w:name="专业代码"/>
            <w:r>
              <w:t>Q：</w:t>
            </w:r>
            <w:r>
              <w:rPr>
                <w:rFonts w:hint="eastAsia"/>
                <w:lang w:eastAsia="zh-CN"/>
              </w:rPr>
              <w:t>34.06.00</w:t>
            </w:r>
          </w:p>
          <w:p>
            <w:pPr>
              <w:rPr>
                <w:rFonts w:hint="eastAsia" w:eastAsia="宋体"/>
                <w:lang w:eastAsia="zh-CN"/>
              </w:rPr>
            </w:pPr>
            <w:r>
              <w:t>E：</w:t>
            </w:r>
            <w:r>
              <w:rPr>
                <w:rFonts w:hint="eastAsia"/>
                <w:lang w:eastAsia="zh-CN"/>
              </w:rPr>
              <w:t>34.06.00</w:t>
            </w:r>
          </w:p>
          <w:p>
            <w:pPr>
              <w:rPr>
                <w:rFonts w:hint="eastAsia" w:eastAsia="宋体"/>
                <w:lang w:eastAsia="zh-CN"/>
              </w:rPr>
            </w:pPr>
            <w:r>
              <w:t>O：</w:t>
            </w:r>
            <w:bookmarkEnd w:id="20"/>
            <w:r>
              <w:rPr>
                <w:rFonts w:hint="eastAsia"/>
                <w:lang w:eastAsia="zh-CN"/>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5</w:t>
            </w:r>
            <w:r>
              <w:rPr>
                <w:rFonts w:hint="eastAsia"/>
                <w:color w:val="000000"/>
                <w:szCs w:val="18"/>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eastAsia="宋体"/>
                <w:lang w:eastAsia="zh-CN"/>
              </w:rPr>
            </w:pPr>
            <w:r>
              <w:rPr>
                <w:rFonts w:hint="eastAsia"/>
                <w:lang w:eastAsia="zh-CN"/>
              </w:rPr>
              <w:t>浙江省震灾风险防治中心</w:t>
            </w:r>
          </w:p>
          <w:p>
            <w:pPr>
              <w:spacing w:before="40" w:after="40"/>
              <w:rPr>
                <w:rFonts w:hint="eastAsia" w:eastAsia="宋体"/>
                <w:lang w:val="de-DE" w:eastAsia="zh-CN"/>
              </w:rPr>
            </w:pPr>
            <w:r>
              <w:rPr>
                <w:rFonts w:hint="eastAsia"/>
                <w:sz w:val="21"/>
                <w:szCs w:val="21"/>
                <w:lang w:eastAsia="zh-CN"/>
              </w:rPr>
              <w:t>浙江省杭州市西湖区古荡湾塘苗路7号</w:t>
            </w:r>
          </w:p>
        </w:tc>
        <w:tc>
          <w:tcPr>
            <w:tcW w:w="2267" w:type="dxa"/>
            <w:vAlign w:val="top"/>
          </w:tcPr>
          <w:p>
            <w:pPr>
              <w:spacing w:before="40" w:after="40"/>
              <w:rPr>
                <w:rFonts w:hint="eastAsia" w:eastAsia="宋体"/>
                <w:lang w:val="de-DE" w:eastAsia="zh-CN"/>
              </w:rPr>
            </w:pPr>
            <w:r>
              <w:rPr>
                <w:rFonts w:hint="eastAsia"/>
                <w:sz w:val="21"/>
                <w:szCs w:val="21"/>
                <w:lang w:eastAsia="zh-CN"/>
              </w:rPr>
              <w:t>浙江省杭州市西湖区古荡湾塘苗路7号</w:t>
            </w:r>
          </w:p>
        </w:tc>
        <w:tc>
          <w:tcPr>
            <w:tcW w:w="571" w:type="dxa"/>
            <w:vAlign w:val="center"/>
          </w:tcPr>
          <w:p>
            <w:pPr>
              <w:spacing w:before="40" w:after="40"/>
              <w:rPr>
                <w:lang w:eastAsia="ja-JP"/>
              </w:rPr>
            </w:pPr>
            <w:r>
              <w:rPr>
                <w:rFonts w:hint="eastAsia" w:eastAsia="黑体"/>
                <w:szCs w:val="21"/>
                <w:lang w:val="en-US" w:eastAsia="zh-CN"/>
              </w:rPr>
              <w:t>25</w:t>
            </w:r>
          </w:p>
        </w:tc>
        <w:tc>
          <w:tcPr>
            <w:tcW w:w="2803" w:type="dxa"/>
            <w:vAlign w:val="center"/>
          </w:tcPr>
          <w:p>
            <w:pPr>
              <w:rPr>
                <w:rFonts w:hint="eastAsia" w:eastAsia="宋体"/>
                <w:lang w:eastAsia="zh-CN"/>
              </w:rPr>
            </w:pPr>
            <w:r>
              <w:t>Q：</w:t>
            </w:r>
            <w:r>
              <w:rPr>
                <w:rFonts w:hint="eastAsia"/>
                <w:lang w:eastAsia="zh-CN"/>
              </w:rPr>
              <w:t>地震安全性评价服务</w:t>
            </w:r>
          </w:p>
          <w:p>
            <w:r>
              <w:t>E：</w:t>
            </w:r>
            <w:r>
              <w:rPr>
                <w:rFonts w:hint="eastAsia"/>
                <w:lang w:eastAsia="zh-CN"/>
              </w:rPr>
              <w:t>地震安全性评价服务</w:t>
            </w:r>
            <w:r>
              <w:t>所涉及场所的相关环境管理活动</w:t>
            </w:r>
          </w:p>
          <w:p>
            <w:pPr>
              <w:pStyle w:val="22"/>
              <w:rPr>
                <w:lang w:eastAsia="ja-JP"/>
              </w:rPr>
            </w:pPr>
            <w:r>
              <w:t>O：</w:t>
            </w:r>
            <w:r>
              <w:rPr>
                <w:rFonts w:hint="eastAsia" w:eastAsia="宋体"/>
                <w:lang w:eastAsia="zh-CN"/>
              </w:rPr>
              <w:t>地震安全性评价服务</w:t>
            </w:r>
            <w:r>
              <w:t>所涉及场所的相关职业健康安全管理活动</w:t>
            </w:r>
          </w:p>
        </w:tc>
        <w:tc>
          <w:tcPr>
            <w:tcW w:w="669" w:type="dxa"/>
            <w:vAlign w:val="center"/>
          </w:tcPr>
          <w:p>
            <w:pPr>
              <w:rPr>
                <w:rFonts w:hint="eastAsia" w:ascii="宋体" w:hAnsi="宋体"/>
                <w:b/>
                <w:color w:val="000000"/>
                <w:szCs w:val="21"/>
                <w:lang w:val="en-US" w:eastAsia="zh-CN"/>
              </w:rPr>
            </w:pPr>
            <w:r>
              <w:rPr>
                <w:rFonts w:hint="eastAsia" w:ascii="宋体" w:hAnsi="宋体"/>
                <w:b/>
                <w:color w:val="000000"/>
                <w:szCs w:val="21"/>
                <w:lang w:val="de-DE"/>
              </w:rPr>
              <w:t>GB/T19001-2016</w:t>
            </w:r>
            <w:r>
              <w:rPr>
                <w:rFonts w:hint="eastAsia" w:ascii="宋体" w:hAnsi="宋体"/>
                <w:b/>
                <w:color w:val="000000"/>
                <w:szCs w:val="21"/>
                <w:lang w:val="de-DE" w:eastAsia="zh-CN"/>
              </w:rPr>
              <w:t>、</w:t>
            </w:r>
            <w:r>
              <w:rPr>
                <w:rFonts w:hint="eastAsia" w:ascii="宋体" w:hAnsi="宋体"/>
                <w:b/>
                <w:color w:val="000000"/>
                <w:szCs w:val="21"/>
                <w:lang w:val="de-DE"/>
              </w:rPr>
              <w:t>GB/T24001-2016</w:t>
            </w:r>
            <w:r>
              <w:rPr>
                <w:rFonts w:hint="eastAsia" w:ascii="宋体" w:hAnsi="宋体"/>
                <w:b/>
                <w:color w:val="000000"/>
                <w:szCs w:val="21"/>
                <w:lang w:val="de-DE" w:eastAsia="zh-CN"/>
              </w:rPr>
              <w:t>、</w:t>
            </w:r>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spacing w:before="40" w:after="40"/>
              <w:rPr>
                <w:lang w:eastAsia="ja-JP"/>
              </w:rPr>
            </w:pPr>
          </w:p>
        </w:tc>
        <w:tc>
          <w:tcPr>
            <w:tcW w:w="668" w:type="dxa"/>
            <w:shd w:val="clear" w:color="auto" w:fill="FFFFFF"/>
            <w:vAlign w:val="top"/>
          </w:tcPr>
          <w:p>
            <w:pPr>
              <w:rPr>
                <w:rFonts w:eastAsia="黑体"/>
                <w:szCs w:val="21"/>
              </w:rPr>
            </w:pPr>
            <w:r>
              <w:rPr>
                <w:rFonts w:eastAsia="黑体"/>
                <w:szCs w:val="21"/>
              </w:rPr>
              <w:sym w:font="Wingdings 2" w:char="0052"/>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p>
            <w:r>
              <w:t>2020-N1EMS-1258213</w:t>
            </w:r>
          </w:p>
          <w:p>
            <w:r>
              <w:t>2020-N1OHSMS-1258213</w:t>
            </w:r>
          </w:p>
        </w:tc>
        <w:tc>
          <w:tcPr>
            <w:tcW w:w="2179" w:type="dxa"/>
            <w:vAlign w:val="center"/>
          </w:tcPr>
          <w:p>
            <w:r>
              <w:t>Q:34.06.00</w:t>
            </w:r>
          </w:p>
          <w:p>
            <w:r>
              <w:t>E:34.06.00</w:t>
            </w:r>
          </w:p>
          <w:p>
            <w:pPr>
              <w:rPr>
                <w:rFonts w:hint="eastAsia" w:eastAsia="宋体"/>
                <w:lang w:eastAsia="zh-CN"/>
              </w:rPr>
            </w:pPr>
            <w: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2019-N1QMS-2210533</w:t>
            </w:r>
          </w:p>
          <w:p>
            <w:r>
              <w:t>2021-N1EMS-1210533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restart"/>
          </w:tcPr>
          <w:p>
            <w:pPr>
              <w:rPr>
                <w:rFonts w:hint="default"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vMerge w:val="continue"/>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p>
        </w:tc>
        <w:tc>
          <w:tcPr>
            <w:tcW w:w="1717" w:type="dxa"/>
          </w:tcPr>
          <w:p/>
        </w:tc>
        <w:tc>
          <w:tcPr>
            <w:tcW w:w="1560" w:type="dxa"/>
            <w:vMerge w:val="continue"/>
          </w:tcPr>
          <w:p/>
        </w:tc>
        <w:tc>
          <w:tcPr>
            <w:tcW w:w="2965" w:type="dxa"/>
          </w:tcPr>
          <w:p>
            <w:r>
              <w:rPr>
                <w:rFonts w:hint="eastAsia"/>
              </w:rPr>
              <w:sym w:font="Wingdings 2" w:char="00A3"/>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p>
        </w:tc>
        <w:tc>
          <w:tcPr>
            <w:tcW w:w="1717" w:type="dxa"/>
          </w:tcPr>
          <w:p/>
        </w:tc>
        <w:tc>
          <w:tcPr>
            <w:tcW w:w="1560" w:type="dxa"/>
            <w:vMerge w:val="continue"/>
          </w:tcPr>
          <w:p/>
        </w:tc>
        <w:tc>
          <w:tcPr>
            <w:tcW w:w="2965" w:type="dxa"/>
          </w:tcPr>
          <w:p>
            <w:r>
              <w:rPr>
                <w:rFonts w:hint="eastAsia"/>
              </w:rPr>
              <w:sym w:font="Wingdings 2" w:char="00A3"/>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1" w:name="Q勾选Add2"/>
            <w:r>
              <w:rPr>
                <w:rFonts w:hint="eastAsia"/>
              </w:rPr>
              <w:t>■</w:t>
            </w:r>
            <w:bookmarkEnd w:id="2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E勾选Add2"/>
            <w:r>
              <w:rPr>
                <w:rFonts w:hint="eastAsia"/>
              </w:rPr>
              <w:t>■</w:t>
            </w:r>
            <w:bookmarkEnd w:id="2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S勾选Add2"/>
            <w:r>
              <w:rPr>
                <w:rFonts w:hint="eastAsia"/>
              </w:rPr>
              <w:t>■</w:t>
            </w:r>
            <w:bookmarkEnd w:id="2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289560</wp:posOffset>
                  </wp:positionH>
                  <wp:positionV relativeFrom="paragraph">
                    <wp:posOffset>64135</wp:posOffset>
                  </wp:positionV>
                  <wp:extent cx="601345" cy="270510"/>
                  <wp:effectExtent l="0" t="0" r="8255" b="8890"/>
                  <wp:wrapNone/>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6"/>
                          <a:stretch>
                            <a:fillRect/>
                          </a:stretch>
                        </pic:blipFill>
                        <pic:spPr>
                          <a:xfrm>
                            <a:off x="0" y="0"/>
                            <a:ext cx="601345" cy="27051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b/>
                <w:color w:val="0000FF"/>
                <w:szCs w:val="21"/>
                <w:lang w:val="en-US" w:eastAsia="zh-CN"/>
              </w:rPr>
              <w:t>2021.12.17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bookmarkStart w:id="25" w:name="_GoBack"/>
      <w:bookmarkEnd w:id="25"/>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A3"/>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最高管理者制定了文件化的</w:t>
            </w:r>
            <w:r>
              <w:rPr>
                <w:rFonts w:hint="eastAsia"/>
                <w:lang w:eastAsia="zh-CN"/>
              </w:rPr>
              <w:t>管理体系方针：质量客户满意、环境社会满意、健康安全员工满意、追求持续改进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w:t>
            </w:r>
            <w:r>
              <w:rPr>
                <w:rFonts w:hint="eastAsia"/>
                <w:lang w:eastAsia="zh-CN"/>
              </w:rPr>
              <w:t>主管部门是——办公室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4"/>
              <w:gridCol w:w="422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pPr>
                    <w:shd w:val="clear" w:color="auto" w:fill="C7DAF1" w:themeFill="text2" w:themeFillTint="32"/>
                  </w:pPr>
                  <w:r>
                    <w:rPr>
                      <w:rFonts w:hint="eastAsia"/>
                    </w:rPr>
                    <w:t>主要的风险或机遇描述</w:t>
                  </w:r>
                </w:p>
              </w:tc>
              <w:tc>
                <w:tcPr>
                  <w:tcW w:w="4221"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pPr>
                    <w:shd w:val="clear" w:color="auto" w:fill="C7DAF1" w:themeFill="text2" w:themeFillTint="32"/>
                  </w:pPr>
                  <w:r>
                    <w:rPr>
                      <w:rFonts w:hint="eastAsia"/>
                    </w:rPr>
                    <w:t>计划制定不合理，导致无法按时完成计划任务，从而延误报告交付。</w:t>
                  </w:r>
                </w:p>
              </w:tc>
              <w:tc>
                <w:tcPr>
                  <w:tcW w:w="4221" w:type="dxa"/>
                </w:tcPr>
                <w:p>
                  <w:pPr>
                    <w:shd w:val="clear" w:color="auto" w:fill="C7DAF1" w:themeFill="text2" w:themeFillTint="32"/>
                  </w:pPr>
                  <w:r>
                    <w:rPr>
                      <w:rFonts w:hint="eastAsia"/>
                    </w:rPr>
                    <w:t xml:space="preserve">1.合理计算公司的实际产能。    2.依据报告特点和本公司的实际产能合理安排评价服务计划。 3.安排跟单员全程跟进评价服务计划的实现过程。 </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pPr>
                    <w:shd w:val="clear" w:color="auto" w:fill="C7DAF1" w:themeFill="text2" w:themeFillTint="32"/>
                  </w:pPr>
                  <w:r>
                    <w:rPr>
                      <w:rFonts w:hint="eastAsia"/>
                    </w:rPr>
                    <w:t>1.仪器精度不够，导致检测结果不准备。</w:t>
                  </w:r>
                </w:p>
              </w:tc>
              <w:tc>
                <w:tcPr>
                  <w:tcW w:w="4221" w:type="dxa"/>
                </w:tcPr>
                <w:p>
                  <w:pPr>
                    <w:shd w:val="clear" w:color="auto" w:fill="C7DAF1" w:themeFill="text2" w:themeFillTint="32"/>
                  </w:pPr>
                  <w:r>
                    <w:rPr>
                      <w:rFonts w:hint="eastAsia"/>
                    </w:rPr>
                    <w:t xml:space="preserve">1.建立仪器清单，并制度每年度的校准计划，按计划时间对仪器实施校准。                2.使用的仪器必须持有校准报告和张贴校准合格证。 </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pPr>
                    <w:shd w:val="clear" w:color="auto" w:fill="C7DAF1" w:themeFill="text2" w:themeFillTint="32"/>
                  </w:pPr>
                  <w:r>
                    <w:rPr>
                      <w:rFonts w:hint="eastAsia"/>
                    </w:rPr>
                    <w:t>法律法规收集不全；法律法规收集不及时；法律法规变化不了解。</w:t>
                  </w:r>
                </w:p>
              </w:tc>
              <w:tc>
                <w:tcPr>
                  <w:tcW w:w="4221" w:type="dxa"/>
                </w:tcPr>
                <w:p>
                  <w:pPr>
                    <w:shd w:val="clear" w:color="auto" w:fill="C7DAF1" w:themeFill="text2" w:themeFillTint="32"/>
                    <w:rPr>
                      <w:rFonts w:hint="eastAsia" w:eastAsia="宋体"/>
                      <w:lang w:eastAsia="zh-CN"/>
                    </w:rPr>
                  </w:pPr>
                  <w:r>
                    <w:rPr>
                      <w:rFonts w:hint="eastAsia"/>
                    </w:rPr>
                    <w:t>建立对相关法律法规的更新信息的渠道</w:t>
                  </w:r>
                  <w:r>
                    <w:rPr>
                      <w:rFonts w:hint="eastAsia"/>
                      <w:lang w:eastAsia="zh-CN"/>
                    </w:rPr>
                    <w:t>、实施对公司的适宜的法律法规更新</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pPr>
                    <w:shd w:val="clear" w:color="auto" w:fill="C7DAF1" w:themeFill="text2" w:themeFillTint="32"/>
                  </w:pPr>
                </w:p>
              </w:tc>
              <w:tc>
                <w:tcPr>
                  <w:tcW w:w="4221"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vAlign w:val="top"/>
                </w:tcPr>
                <w:p>
                  <w:pPr>
                    <w:widowControl/>
                    <w:spacing w:before="40"/>
                    <w:jc w:val="left"/>
                    <w:rPr>
                      <w:rFonts w:ascii="宋体" w:hAnsi="宋体"/>
                    </w:rPr>
                  </w:pPr>
                  <w:r>
                    <w:rPr>
                      <w:rFonts w:hint="eastAsia"/>
                      <w:color w:val="000000"/>
                      <w:szCs w:val="18"/>
                    </w:rPr>
                    <w:t>考核频次</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eastAsia="宋体" w:cs="Times New Roman"/>
                      <w:color w:val="000000"/>
                      <w:szCs w:val="18"/>
                      <w:lang w:val="en-US" w:eastAsia="zh-CN"/>
                    </w:rPr>
                    <w:t>地震安全性评价报告总工一次评审通过率≥95%；</w:t>
                  </w:r>
                </w:p>
              </w:tc>
              <w:tc>
                <w:tcPr>
                  <w:tcW w:w="3136" w:type="dxa"/>
                  <w:shd w:val="clear" w:color="auto" w:fill="auto"/>
                  <w:vAlign w:val="top"/>
                </w:tcPr>
                <w:p>
                  <w:pPr>
                    <w:widowControl/>
                    <w:spacing w:before="40"/>
                    <w:jc w:val="left"/>
                    <w:rPr>
                      <w:lang w:val="en-GB"/>
                    </w:rPr>
                  </w:pPr>
                  <w:r>
                    <w:rPr>
                      <w:rFonts w:hint="eastAsia" w:ascii="Times New Roman" w:hAnsi="Times New Roman" w:eastAsia="宋体" w:cs="Times New Roman"/>
                      <w:color w:val="000000"/>
                      <w:szCs w:val="18"/>
                    </w:rPr>
                    <w:t>合格率＝合格数÷总数×100%</w:t>
                  </w:r>
                </w:p>
              </w:tc>
              <w:tc>
                <w:tcPr>
                  <w:tcW w:w="1350" w:type="dxa"/>
                  <w:shd w:val="clear" w:color="auto" w:fill="auto"/>
                  <w:vAlign w:val="top"/>
                </w:tcPr>
                <w:p>
                  <w:pPr>
                    <w:widowControl/>
                    <w:spacing w:before="40"/>
                    <w:jc w:val="left"/>
                    <w:rPr>
                      <w:rFonts w:hint="eastAsia" w:eastAsia="宋体"/>
                      <w:lang w:val="en-US" w:eastAsia="zh-CN"/>
                    </w:rPr>
                  </w:pPr>
                  <w:r>
                    <w:rPr>
                      <w:rFonts w:hint="eastAsia" w:ascii="Times New Roman" w:hAnsi="Times New Roman" w:eastAsia="宋体" w:cs="Times New Roman"/>
                      <w:color w:val="000000"/>
                      <w:szCs w:val="18"/>
                      <w:lang w:val="en-US" w:eastAsia="zh-CN"/>
                    </w:rPr>
                    <w:t>全年保持</w:t>
                  </w:r>
                </w:p>
              </w:tc>
              <w:tc>
                <w:tcPr>
                  <w:tcW w:w="1774" w:type="dxa"/>
                  <w:shd w:val="clear" w:color="auto" w:fill="auto"/>
                  <w:vAlign w:val="top"/>
                </w:tcPr>
                <w:p>
                  <w:pPr>
                    <w:widowControl/>
                    <w:spacing w:before="40"/>
                    <w:jc w:val="left"/>
                    <w:rPr>
                      <w:rFonts w:ascii="宋体" w:hAnsi="宋体"/>
                      <w:lang w:val="en-GB"/>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eastAsia="宋体" w:cs="Times New Roman"/>
                      <w:color w:val="000000"/>
                      <w:szCs w:val="18"/>
                    </w:rPr>
                    <w:t>顾客满意率≥95%</w:t>
                  </w:r>
                </w:p>
              </w:tc>
              <w:tc>
                <w:tcPr>
                  <w:tcW w:w="3136"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rPr>
                    <w:t>满意率＝顾客满意分数总数÷总分数×100%</w:t>
                  </w:r>
                </w:p>
              </w:tc>
              <w:tc>
                <w:tcPr>
                  <w:tcW w:w="1350"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lang w:val="en-US" w:eastAsia="zh-CN"/>
                    </w:rPr>
                    <w:t>每年</w:t>
                  </w:r>
                </w:p>
              </w:tc>
              <w:tc>
                <w:tcPr>
                  <w:tcW w:w="1774"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eastAsia="宋体" w:cs="Times New Roman"/>
                      <w:color w:val="000000"/>
                      <w:szCs w:val="18"/>
                    </w:rPr>
                    <w:t>各类废弃物按规定处置率100%</w:t>
                  </w:r>
                </w:p>
              </w:tc>
              <w:tc>
                <w:tcPr>
                  <w:tcW w:w="3136"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rPr>
                    <w:t>检查合格次数/总次数</w:t>
                  </w:r>
                </w:p>
              </w:tc>
              <w:tc>
                <w:tcPr>
                  <w:tcW w:w="1350"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lang w:val="en-US" w:eastAsia="zh-CN"/>
                    </w:rPr>
                    <w:t>全年保持</w:t>
                  </w:r>
                </w:p>
              </w:tc>
              <w:tc>
                <w:tcPr>
                  <w:tcW w:w="1774"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eastAsia="宋体" w:cs="Times New Roman"/>
                      <w:color w:val="000000"/>
                      <w:szCs w:val="18"/>
                    </w:rPr>
                    <w:t>重大安全事故为0</w:t>
                  </w:r>
                </w:p>
              </w:tc>
              <w:tc>
                <w:tcPr>
                  <w:tcW w:w="3136"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rPr>
                    <w:t>检查实际情况</w:t>
                  </w:r>
                </w:p>
              </w:tc>
              <w:tc>
                <w:tcPr>
                  <w:tcW w:w="1350"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lang w:val="en-US" w:eastAsia="zh-CN"/>
                    </w:rPr>
                    <w:t>全年保持</w:t>
                  </w:r>
                </w:p>
              </w:tc>
              <w:tc>
                <w:tcPr>
                  <w:tcW w:w="1774"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eastAsia="宋体" w:cs="Times New Roman"/>
                      <w:color w:val="000000"/>
                      <w:szCs w:val="18"/>
                      <w:lang w:val="en-US" w:eastAsia="zh-CN"/>
                    </w:rPr>
                    <w:t>杜绝火灾事故发生</w:t>
                  </w:r>
                </w:p>
              </w:tc>
              <w:tc>
                <w:tcPr>
                  <w:tcW w:w="3136"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rPr>
                    <w:t>检查实际情况</w:t>
                  </w:r>
                </w:p>
              </w:tc>
              <w:tc>
                <w:tcPr>
                  <w:tcW w:w="1350"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lang w:val="en-US" w:eastAsia="zh-CN"/>
                    </w:rPr>
                    <w:t>全年保持</w:t>
                  </w:r>
                </w:p>
              </w:tc>
              <w:tc>
                <w:tcPr>
                  <w:tcW w:w="1774"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lang w:val="en-US" w:eastAsia="zh-CN"/>
                    </w:rPr>
                    <w:t>0</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340</w:t>
            </w:r>
            <w:r>
              <w:rPr>
                <w:rFonts w:hint="eastAsia"/>
              </w:rPr>
              <w:t>平方米；生产车间</w:t>
            </w:r>
            <w:r>
              <w:rPr>
                <w:rFonts w:hint="eastAsia"/>
                <w:lang w:val="en-US" w:eastAsia="zh-CN"/>
              </w:rPr>
              <w:t xml:space="preserve"> </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电脑、打印机、综合试波速测试仪、爆破测振仪</w:t>
            </w:r>
            <w:r>
              <w:rPr>
                <w:rFonts w:hint="eastAsia"/>
                <w:u w:val="single"/>
              </w:rPr>
              <w:t>（举2~4种）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lang w:eastAsia="zh-CN"/>
              </w:rPr>
              <w:t>国家强检的计量器具有：</w:t>
            </w:r>
            <w:r>
              <w:rPr>
                <w:rFonts w:hint="eastAsia"/>
                <w:u w:val="single"/>
                <w:lang w:eastAsia="zh-CN"/>
              </w:rPr>
              <w:t>综合试波速测试仪、 爆破测振仪、强震仪</w:t>
            </w:r>
            <w:r>
              <w:rPr>
                <w:rFonts w:hint="eastAsia"/>
                <w:u w:val="single"/>
                <w:lang w:val="en-US" w:eastAsia="zh-CN"/>
              </w:rPr>
              <w:t xml:space="preserve">  （</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A3"/>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A3"/>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无</w:t>
            </w:r>
          </w:p>
          <w:p>
            <w:pPr>
              <w:shd w:val="clear" w:color="auto" w:fill="C7DAF1" w:themeFill="text2" w:themeFillTint="32"/>
              <w:rPr>
                <w:rFonts w:hint="default" w:eastAsia="宋体"/>
                <w:lang w:val="en-US" w:eastAsia="zh-CN"/>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rPr>
              <w:sym w:font="Wingdings 2" w:char="0052"/>
            </w:r>
            <w:r>
              <w:rPr>
                <w:rFonts w:hint="eastAsia"/>
                <w:lang w:eastAsia="zh-CN"/>
              </w:rPr>
              <w:t>法律法规获取有遗漏，缺少：</w:t>
            </w:r>
            <w:r>
              <w:rPr>
                <w:rFonts w:hint="eastAsia" w:ascii="宋体" w:hAnsi="宋体" w:cs="宋体"/>
                <w:b/>
                <w:bCs/>
                <w:spacing w:val="0"/>
                <w:kern w:val="2"/>
                <w:sz w:val="21"/>
                <w:szCs w:val="21"/>
                <w:lang w:val="en-US" w:eastAsia="zh-CN" w:bidi="ar-SA"/>
              </w:rPr>
              <w:t>中华人民共和国防震减灾法》（中华人民共和国主席令第七号）、《地震安全性评价管理条例》（中华人民共和国国务院令第 323 号）、《工程场地地震安全性评价》</w:t>
            </w:r>
            <w:r>
              <w:rPr>
                <w:rFonts w:hint="eastAsia"/>
                <w:lang w:val="en-US" w:eastAsia="zh-CN"/>
              </w:rPr>
              <w:t>等</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A3"/>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26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r>
                    <w:rPr>
                      <w:rFonts w:hint="eastAsia"/>
                    </w:rPr>
                    <w:t>产品/服务名称</w:t>
                  </w:r>
                </w:p>
              </w:tc>
              <w:tc>
                <w:tcPr>
                  <w:tcW w:w="26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rPr>
                      <w:rFonts w:hint="eastAsia" w:eastAsia="宋体"/>
                      <w:lang w:eastAsia="zh-CN"/>
                    </w:rPr>
                  </w:pPr>
                  <w:r>
                    <w:rPr>
                      <w:rFonts w:hint="eastAsia"/>
                      <w:sz w:val="20"/>
                      <w:lang w:eastAsia="zh-CN"/>
                    </w:rPr>
                    <w:t>地震安全性评价服务</w:t>
                  </w:r>
                </w:p>
              </w:tc>
              <w:tc>
                <w:tcPr>
                  <w:tcW w:w="2678" w:type="dxa"/>
                </w:tcPr>
                <w:p>
                  <w:pPr>
                    <w:shd w:val="clear" w:color="auto" w:fill="C7DAF1" w:themeFill="text2" w:themeFillTint="32"/>
                    <w:jc w:val="left"/>
                    <w:rPr>
                      <w:rFonts w:hint="eastAsia" w:eastAsia="宋体"/>
                      <w:lang w:val="en-US" w:eastAsia="zh-CN"/>
                    </w:rPr>
                  </w:pPr>
                  <w:r>
                    <w:rPr>
                      <w:rFonts w:hint="eastAsia"/>
                      <w:color w:val="000000"/>
                      <w:u w:val="single"/>
                      <w:lang w:val="en-US" w:eastAsia="zh-CN"/>
                    </w:rPr>
                    <w:t>项目检测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项目检测</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sym w:font="Wingdings 2" w:char="00A3"/>
            </w:r>
            <w:r>
              <w:rPr>
                <w:rFonts w:hint="eastAsia"/>
                <w:lang w:eastAsia="zh-CN"/>
              </w:rPr>
              <w:t>出具报告，对其有效性负责</w:t>
            </w:r>
            <w:r>
              <w:rPr>
                <w:rFonts w:hint="eastAsia" w:ascii="Wingdings" w:hAnsi="Wingdings"/>
                <w:lang w:eastAsia="zh-CN"/>
              </w:rPr>
              <w:sym w:font="Wingdings 2" w:char="00A3"/>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出具报告，对其有效性负责</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A3"/>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年度策划于2021年10月15日</w:t>
            </w:r>
            <w:r>
              <w:rPr>
                <w:rFonts w:hint="eastAsia"/>
              </w:rPr>
              <w:t>实施了质量管理体系内部审核，对质量管理体系的符合性和有效性进行了审核。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eastAsia="zh-CN"/>
              </w:rPr>
              <w:t>在2021年11月18日对组织的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w:t>
            </w:r>
            <w:r>
              <w:rPr>
                <w:rFonts w:hint="eastAsia"/>
              </w:rPr>
              <w:sym w:font="Wingdings 2" w:char="0052"/>
            </w:r>
            <w:r>
              <w:rPr>
                <w:rFonts w:hint="eastAsia"/>
              </w:rPr>
              <w:t>人力资源</w:t>
            </w:r>
            <w:r>
              <w:rPr>
                <w:rFonts w:hint="eastAsia"/>
              </w:rPr>
              <w:sym w:font="Wingdings 2" w:char="0052"/>
            </w:r>
            <w:r>
              <w:rPr>
                <w:rFonts w:hint="eastAsia"/>
              </w:rPr>
              <w:t>营销和市场□生产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A3"/>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w:t>
            </w:r>
            <w:r>
              <w:rPr>
                <w:rFonts w:hint="eastAsia"/>
              </w:rPr>
              <w:sym w:font="Wingdings 2" w:char="0052"/>
            </w:r>
            <w:r>
              <w:rPr>
                <w:rFonts w:hint="eastAsia"/>
              </w:rPr>
              <w:t>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最高管理者制定了文件化的</w:t>
            </w:r>
            <w:r>
              <w:rPr>
                <w:rFonts w:hint="eastAsia"/>
                <w:lang w:eastAsia="zh-CN"/>
              </w:rPr>
              <w:t>管理体系方针：质量客户满意、环境社会满意、健康安全员工满意、追求持续改进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w:t>
            </w:r>
            <w:r>
              <w:rPr>
                <w:rFonts w:hint="eastAsia"/>
                <w:lang w:eastAsia="zh-CN"/>
              </w:rPr>
              <w:t>主管部门是——办公室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4"/>
              <w:gridCol w:w="408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主要的风险或机遇描述</w:t>
                  </w:r>
                </w:p>
              </w:tc>
              <w:tc>
                <w:tcPr>
                  <w:tcW w:w="4081"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应对措施</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计划制定不合理，导致无法按时完成计划任务，从而延误报告交付。</w:t>
                  </w:r>
                </w:p>
              </w:tc>
              <w:tc>
                <w:tcPr>
                  <w:tcW w:w="4081"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1.合理计算公司的实际产能。    2.依据报告特点和本公司的实际产能合理安排评价服务计划。 3.安排跟单员全程跟进评价服务计划的实现过程。 </w:t>
                  </w:r>
                </w:p>
              </w:tc>
              <w:tc>
                <w:tcPr>
                  <w:tcW w:w="1717" w:type="dxa"/>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1.仪器精度不够，导致检测结果不准备。</w:t>
                  </w:r>
                </w:p>
              </w:tc>
              <w:tc>
                <w:tcPr>
                  <w:tcW w:w="4081"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1.建立仪器清单，并制度每年度的校准计划，按计划时间对仪器实施校准。                2.使用的仪器必须持有校准报告和张贴校准合格证。 </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法律法规收集不全；法律法规收集不及时；法律法规变化不了解。</w:t>
                  </w:r>
                </w:p>
              </w:tc>
              <w:tc>
                <w:tcPr>
                  <w:tcW w:w="4081" w:type="dxa"/>
                </w:tcPr>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建立对相关法律法规的更新信息的渠道</w:t>
                  </w:r>
                  <w:r>
                    <w:rPr>
                      <w:rFonts w:hint="eastAsia" w:ascii="Times New Roman" w:hAnsi="Times New Roman" w:eastAsia="宋体" w:cs="Times New Roman"/>
                      <w:lang w:eastAsia="zh-CN"/>
                    </w:rPr>
                    <w:t>、实施对公司的适宜的法律法规更新</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Pr>
                <w:p>
                  <w:pPr>
                    <w:shd w:val="clear" w:color="auto" w:fill="EBF1DE" w:themeFill="accent3" w:themeFillTint="32"/>
                    <w:rPr>
                      <w:rFonts w:hint="eastAsia" w:ascii="Times New Roman" w:hAnsi="Times New Roman" w:eastAsia="宋体" w:cs="Times New Roman"/>
                    </w:rPr>
                  </w:pPr>
                </w:p>
              </w:tc>
              <w:tc>
                <w:tcPr>
                  <w:tcW w:w="4081" w:type="dxa"/>
                </w:tcPr>
                <w:p>
                  <w:pPr>
                    <w:shd w:val="clear" w:color="auto" w:fill="EBF1DE" w:themeFill="accent3" w:themeFillTint="32"/>
                    <w:rPr>
                      <w:rFonts w:hint="eastAsia" w:ascii="Times New Roman" w:hAnsi="Times New Roman" w:eastAsia="宋体" w:cs="Times New Roman"/>
                    </w:rPr>
                  </w:pPr>
                </w:p>
              </w:tc>
              <w:tc>
                <w:tcPr>
                  <w:tcW w:w="1717" w:type="dxa"/>
                </w:tcPr>
                <w:p>
                  <w:pPr>
                    <w:shd w:val="clear" w:color="auto" w:fill="EBF1DE" w:themeFill="accent3" w:themeFillTint="32"/>
                    <w:rPr>
                      <w:rFonts w:hint="eastAsia" w:ascii="Times New Roman" w:hAnsi="Times New Roman" w:eastAsia="宋体" w:cs="Times New Roman"/>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废水排放□废气排放□粉尘排放</w:t>
            </w:r>
            <w:r>
              <w:rPr>
                <w:rFonts w:hint="eastAsia"/>
              </w:rPr>
              <w:sym w:font="Wingdings 2" w:char="0052"/>
            </w:r>
            <w:r>
              <w:rPr>
                <w:rFonts w:hint="eastAsia"/>
                <w:lang w:val="en-US" w:eastAsia="zh-CN"/>
              </w:rPr>
              <w:t>固废</w:t>
            </w:r>
            <w:r>
              <w:rPr>
                <w:rFonts w:hint="eastAsia"/>
              </w:rPr>
              <w:t>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val="en-US" w:eastAsia="zh-CN"/>
                    </w:rPr>
                    <w:t>环境</w:t>
                  </w:r>
                  <w:r>
                    <w:rPr>
                      <w:rFonts w:hint="eastAsia" w:ascii="Times New Roman" w:hAnsi="Times New Roman" w:eastAsia="宋体" w:cs="Times New Roman"/>
                      <w:color w:val="000000"/>
                      <w:szCs w:val="18"/>
                    </w:rPr>
                    <w:t>目标</w:t>
                  </w:r>
                </w:p>
              </w:tc>
              <w:tc>
                <w:tcPr>
                  <w:tcW w:w="3136" w:type="dxa"/>
                  <w:shd w:val="clear" w:color="auto" w:fill="auto"/>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计算方法</w:t>
                  </w:r>
                </w:p>
              </w:tc>
              <w:tc>
                <w:tcPr>
                  <w:tcW w:w="1350" w:type="dxa"/>
                  <w:shd w:val="clear" w:color="auto" w:fill="auto"/>
                  <w:vAlign w:val="top"/>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考核频次</w:t>
                  </w:r>
                </w:p>
              </w:tc>
              <w:tc>
                <w:tcPr>
                  <w:tcW w:w="1774" w:type="dxa"/>
                  <w:shd w:val="clear" w:color="auto" w:fill="auto"/>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eastAsia="宋体" w:cs="Times New Roman"/>
                      <w:color w:val="000000"/>
                      <w:szCs w:val="18"/>
                    </w:rPr>
                    <w:t>各类废弃物按规定处置率100%</w:t>
                  </w:r>
                </w:p>
              </w:tc>
              <w:tc>
                <w:tcPr>
                  <w:tcW w:w="3136"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rPr>
                    <w:t>检查合格次数/总次数</w:t>
                  </w:r>
                </w:p>
              </w:tc>
              <w:tc>
                <w:tcPr>
                  <w:tcW w:w="1350"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lang w:val="en-US" w:eastAsia="zh-CN"/>
                    </w:rPr>
                    <w:t>全年保持</w:t>
                  </w:r>
                </w:p>
              </w:tc>
              <w:tc>
                <w:tcPr>
                  <w:tcW w:w="1774"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eastAsia="宋体" w:cs="Times New Roman"/>
                      <w:color w:val="000000"/>
                      <w:szCs w:val="18"/>
                      <w:lang w:val="en-US" w:eastAsia="zh-CN"/>
                    </w:rPr>
                    <w:t>杜绝火灾事故发生</w:t>
                  </w:r>
                </w:p>
              </w:tc>
              <w:tc>
                <w:tcPr>
                  <w:tcW w:w="3136"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rPr>
                    <w:t>检查实际情况</w:t>
                  </w:r>
                </w:p>
              </w:tc>
              <w:tc>
                <w:tcPr>
                  <w:tcW w:w="1350"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lang w:val="en-US" w:eastAsia="zh-CN"/>
                    </w:rPr>
                    <w:t>全年保持</w:t>
                  </w:r>
                </w:p>
              </w:tc>
              <w:tc>
                <w:tcPr>
                  <w:tcW w:w="1774"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lang w:val="en-US" w:eastAsia="zh-CN"/>
                    </w:rPr>
                    <w:t>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建筑面积</w:t>
            </w:r>
            <w:r>
              <w:rPr>
                <w:rFonts w:hint="eastAsia"/>
                <w:lang w:val="en-US" w:eastAsia="zh-CN"/>
              </w:rPr>
              <w:t>340</w:t>
            </w:r>
            <w:r>
              <w:rPr>
                <w:rFonts w:hint="eastAsia"/>
              </w:rPr>
              <w:t>平方米；生产车间</w:t>
            </w:r>
            <w:r>
              <w:rPr>
                <w:rFonts w:hint="eastAsia"/>
                <w:lang w:val="en-US" w:eastAsia="zh-CN"/>
              </w:rPr>
              <w:t xml:space="preserve"> </w:t>
            </w:r>
            <w:r>
              <w:rPr>
                <w:rFonts w:hint="eastAsia"/>
              </w:rPr>
              <w:t>个；库房</w:t>
            </w:r>
            <w:r>
              <w:rPr>
                <w:rFonts w:hint="eastAsia"/>
                <w:lang w:val="en-US" w:eastAsia="zh-CN"/>
              </w:rPr>
              <w:t>1</w:t>
            </w:r>
            <w:r>
              <w:rPr>
                <w:rFonts w:hint="eastAsia"/>
              </w:rPr>
              <w:t>个；实验室个；</w:t>
            </w:r>
          </w:p>
          <w:p>
            <w:pPr>
              <w:shd w:val="clear" w:color="auto" w:fill="EBF1DE" w:themeFill="accent3" w:themeFillTint="32"/>
              <w:rPr>
                <w:rFonts w:hint="eastAsia"/>
              </w:rPr>
            </w:pPr>
            <w:r>
              <w:rPr>
                <w:rFonts w:hint="eastAsia"/>
              </w:rPr>
              <w:t>主要生产设备有：</w:t>
            </w:r>
            <w:r>
              <w:rPr>
                <w:rFonts w:hint="eastAsia"/>
                <w:lang w:val="en-US" w:eastAsia="zh-CN"/>
              </w:rPr>
              <w:t>电脑、打印机、综合试波速测试仪、爆破测振仪</w:t>
            </w:r>
            <w:r>
              <w:rPr>
                <w:rFonts w:hint="eastAsia"/>
              </w:rPr>
              <w:t>（举2~4种）</w:t>
            </w:r>
          </w:p>
          <w:p>
            <w:pPr>
              <w:shd w:val="clear" w:color="auto" w:fill="EBF1DE" w:themeFill="accent3" w:themeFillTint="32"/>
              <w:rPr>
                <w:u w:val="single"/>
              </w:rPr>
            </w:pPr>
            <w:r>
              <w:rPr>
                <w:rFonts w:hint="eastAsia"/>
              </w:rPr>
              <w:t>主要环保设备有：</w:t>
            </w:r>
            <w:r>
              <w:rPr>
                <w:rFonts w:hint="eastAsia"/>
                <w:lang w:val="en-US" w:eastAsia="zh-CN"/>
              </w:rPr>
              <w:t>垃圾桶</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eastAsia="宋体"/>
                <w:lang w:eastAsia="zh-CN"/>
              </w:rPr>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法律法规获取有遗漏，缺少：等</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5084"/>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5084" w:type="dxa"/>
                </w:tcPr>
                <w:p>
                  <w:pPr>
                    <w:shd w:val="clear" w:color="auto" w:fill="EBF1DE" w:themeFill="accent3" w:themeFillTint="32"/>
                    <w:jc w:val="left"/>
                  </w:pPr>
                  <w:r>
                    <w:rPr>
                      <w:rFonts w:hint="eastAsia"/>
                    </w:rPr>
                    <w:t>控制措施</w:t>
                  </w:r>
                </w:p>
              </w:tc>
              <w:tc>
                <w:tcPr>
                  <w:tcW w:w="1846"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5084" w:type="dxa"/>
                </w:tcPr>
                <w:p>
                  <w:pPr>
                    <w:shd w:val="clear" w:color="auto" w:fill="EBF1DE" w:themeFill="accent3" w:themeFillTint="32"/>
                    <w:jc w:val="left"/>
                  </w:pPr>
                </w:p>
              </w:tc>
              <w:tc>
                <w:tcPr>
                  <w:tcW w:w="1846"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5084" w:type="dxa"/>
                </w:tcPr>
                <w:p>
                  <w:pPr>
                    <w:shd w:val="clear" w:color="auto" w:fill="EBF1DE" w:themeFill="accent3" w:themeFillTint="32"/>
                    <w:jc w:val="left"/>
                  </w:pPr>
                </w:p>
              </w:tc>
              <w:tc>
                <w:tcPr>
                  <w:tcW w:w="1846"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5084" w:type="dxa"/>
                </w:tcPr>
                <w:p>
                  <w:pPr>
                    <w:shd w:val="clear" w:color="auto" w:fill="EBF1DE" w:themeFill="accent3" w:themeFillTint="32"/>
                    <w:jc w:val="left"/>
                    <w:rPr>
                      <w:rFonts w:hint="eastAsia" w:eastAsia="宋体"/>
                      <w:lang w:val="en-US" w:eastAsia="zh-CN"/>
                    </w:rPr>
                  </w:pPr>
                  <w:r>
                    <w:rPr>
                      <w:rFonts w:hint="eastAsia"/>
                      <w:lang w:val="en-US" w:eastAsia="zh-CN"/>
                    </w:rPr>
                    <w:t>排入市政管网</w:t>
                  </w:r>
                </w:p>
              </w:tc>
              <w:tc>
                <w:tcPr>
                  <w:tcW w:w="1846"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5084" w:type="dxa"/>
                  <w:vAlign w:val="top"/>
                </w:tcPr>
                <w:p>
                  <w:pPr>
                    <w:shd w:val="clear" w:color="auto" w:fill="EBF1DE" w:themeFill="accent3" w:themeFillTint="32"/>
                    <w:jc w:val="left"/>
                    <w:rPr>
                      <w:rFonts w:hint="default" w:eastAsia="宋体"/>
                      <w:lang w:val="en-US" w:eastAsia="zh-CN"/>
                    </w:rPr>
                  </w:pPr>
                </w:p>
              </w:tc>
              <w:tc>
                <w:tcPr>
                  <w:tcW w:w="1846"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EBF1DE" w:themeFill="accent3" w:themeFillTint="32"/>
                    <w:jc w:val="left"/>
                  </w:pPr>
                  <w:r>
                    <w:rPr>
                      <w:rFonts w:hint="eastAsia"/>
                    </w:rPr>
                    <w:t>噪声排放</w:t>
                  </w:r>
                </w:p>
              </w:tc>
              <w:tc>
                <w:tcPr>
                  <w:tcW w:w="5084" w:type="dxa"/>
                </w:tcPr>
                <w:p>
                  <w:pPr>
                    <w:shd w:val="clear" w:color="auto" w:fill="EBF1DE" w:themeFill="accent3" w:themeFillTint="32"/>
                    <w:jc w:val="left"/>
                    <w:rPr>
                      <w:rFonts w:hint="default" w:eastAsia="宋体"/>
                      <w:lang w:val="en-US" w:eastAsia="zh-CN"/>
                    </w:rPr>
                  </w:pPr>
                </w:p>
              </w:tc>
              <w:tc>
                <w:tcPr>
                  <w:tcW w:w="1846"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shd w:val="clear" w:color="auto" w:fill="EBF1DE" w:themeFill="accent3" w:themeFillTint="32"/>
                    <w:jc w:val="left"/>
                  </w:pPr>
                  <w:r>
                    <w:rPr>
                      <w:rFonts w:hint="eastAsia"/>
                    </w:rPr>
                    <w:t>固废排放</w:t>
                  </w:r>
                </w:p>
              </w:tc>
              <w:tc>
                <w:tcPr>
                  <w:tcW w:w="5084" w:type="dxa"/>
                </w:tcPr>
                <w:p>
                  <w:pPr>
                    <w:shd w:val="clear" w:color="auto" w:fill="EBF1DE" w:themeFill="accent3" w:themeFillTint="32"/>
                    <w:jc w:val="left"/>
                    <w:rPr>
                      <w:rFonts w:hint="default" w:eastAsia="宋体"/>
                      <w:lang w:val="en-US" w:eastAsia="zh-CN"/>
                    </w:rPr>
                  </w:pPr>
                  <w:r>
                    <w:rPr>
                      <w:rFonts w:hint="eastAsia"/>
                      <w:lang w:val="en-US" w:eastAsia="zh-CN"/>
                    </w:rPr>
                    <w:t>分类存放，处置公司及时处置</w:t>
                  </w:r>
                </w:p>
              </w:tc>
              <w:tc>
                <w:tcPr>
                  <w:tcW w:w="1846"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5084" w:type="dxa"/>
                </w:tcPr>
                <w:p>
                  <w:pPr>
                    <w:shd w:val="clear" w:color="auto" w:fill="EBF1DE" w:themeFill="accent3" w:themeFillTint="32"/>
                    <w:jc w:val="left"/>
                  </w:pPr>
                </w:p>
              </w:tc>
              <w:tc>
                <w:tcPr>
                  <w:tcW w:w="1846"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5084" w:type="dxa"/>
                </w:tcPr>
                <w:p>
                  <w:pPr>
                    <w:shd w:val="clear" w:color="auto" w:fill="EBF1DE" w:themeFill="accent3" w:themeFillTint="32"/>
                    <w:jc w:val="left"/>
                  </w:pPr>
                  <w:r>
                    <w:rPr>
                      <w:rFonts w:hint="eastAsia" w:ascii="宋体" w:hAnsi="宋体"/>
                      <w:sz w:val="24"/>
                    </w:rPr>
                    <w:t>运行控制</w:t>
                  </w:r>
                </w:p>
              </w:tc>
              <w:tc>
                <w:tcPr>
                  <w:tcW w:w="1846"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5084" w:type="dxa"/>
                </w:tcPr>
                <w:p>
                  <w:pPr>
                    <w:shd w:val="clear" w:color="auto" w:fill="EBF1DE" w:themeFill="accent3" w:themeFillTint="32"/>
                    <w:jc w:val="left"/>
                  </w:pPr>
                </w:p>
              </w:tc>
              <w:tc>
                <w:tcPr>
                  <w:tcW w:w="1846"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A3"/>
            </w:r>
            <w:r>
              <w:rPr>
                <w:rFonts w:hint="eastAsia"/>
              </w:rPr>
              <w:t>最终处置</w:t>
            </w:r>
            <w:r>
              <w:rPr>
                <w:rFonts w:hint="eastAsia" w:ascii="Wingdings" w:hAnsi="Wingdings"/>
                <w:lang w:eastAsia="zh-CN"/>
              </w:rPr>
              <w:sym w:font="Wingdings 2" w:char="00A3"/>
            </w:r>
            <w:r>
              <w:rPr>
                <w:rFonts w:hint="eastAsia"/>
              </w:rPr>
              <w:t>其他</w:t>
            </w:r>
            <w:r>
              <w:rPr>
                <w:rFonts w:hint="eastAsia"/>
                <w:lang w:val="en-US" w:eastAsia="zh-CN"/>
              </w:rPr>
              <w:t>-出具报告，对其有效性负责</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lang w:eastAsia="zh-CN"/>
              </w:rPr>
              <w:t>于2021年4月20日进行了的演练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sym w:font="Wingdings 2" w:char="0052"/>
            </w:r>
            <w:r>
              <w:rPr>
                <w:rFonts w:hint="eastAsia"/>
                <w:lang w:eastAsia="zh-CN"/>
              </w:rPr>
              <w:t>定期（每年）：</w:t>
            </w:r>
            <w:r>
              <w:rPr>
                <w:rFonts w:hint="eastAsia"/>
                <w:color w:val="FF0000"/>
                <w:lang w:eastAsia="zh-CN"/>
              </w:rPr>
              <w:t>2021年10月28日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年度策划于2021年10月15日</w:t>
            </w:r>
            <w:r>
              <w:rPr>
                <w:rFonts w:hint="eastAsia"/>
              </w:rPr>
              <w:t>实施了环境管理体系内部审核，对环境管理体系的符合性和有效性进行了审核。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lang w:eastAsia="zh-CN"/>
              </w:rPr>
              <w:t>在2021年11月18日对组织的</w:t>
            </w:r>
            <w:r>
              <w:rPr>
                <w:rFonts w:hint="eastAsia"/>
              </w:rPr>
              <w:t>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p>
      <w:pPr>
        <w:pStyle w:val="3"/>
        <w:numPr>
          <w:ilvl w:val="1"/>
          <w:numId w:val="0"/>
        </w:numPr>
        <w:ind w:leftChars="0"/>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最高管理者制定了文件化的职业健康安全</w:t>
            </w:r>
            <w:r>
              <w:rPr>
                <w:rFonts w:hint="eastAsia"/>
                <w:lang w:eastAsia="zh-CN"/>
              </w:rPr>
              <w:t>管理体系方针：质量客户满意、环境社会满意、健康安全员工满意、追求持续改进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w:t>
            </w:r>
            <w:r>
              <w:rPr>
                <w:rFonts w:hint="eastAsia"/>
                <w:lang w:eastAsia="zh-CN"/>
              </w:rPr>
              <w:t>主管部门是——办公室</w:t>
            </w:r>
          </w:p>
          <w:p>
            <w:pPr>
              <w:rPr>
                <w:rFonts w:hint="eastAsia" w:eastAsia="宋体"/>
                <w:lang w:eastAsia="zh-CN"/>
              </w:rPr>
            </w:pPr>
            <w:r>
              <w:rPr>
                <w:rFonts w:hint="eastAsia"/>
              </w:rPr>
              <w:t>安全的</w:t>
            </w:r>
            <w:r>
              <w:rPr>
                <w:rFonts w:hint="eastAsia"/>
                <w:lang w:eastAsia="zh-CN"/>
              </w:rPr>
              <w:t>主管部门是——办公室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bookmarkStart w:id="24" w:name="联系人"/>
            <w:r>
              <w:rPr>
                <w:sz w:val="21"/>
                <w:szCs w:val="21"/>
              </w:rPr>
              <w:t>盛特奇</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4"/>
              <w:gridCol w:w="429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4" w:type="dxa"/>
                </w:tcPr>
                <w:p>
                  <w:pPr>
                    <w:rPr>
                      <w:rFonts w:hint="eastAsia" w:ascii="Times New Roman" w:hAnsi="Times New Roman" w:eastAsia="宋体" w:cs="Times New Roman"/>
                    </w:rPr>
                  </w:pPr>
                  <w:r>
                    <w:rPr>
                      <w:rFonts w:hint="eastAsia" w:ascii="Times New Roman" w:hAnsi="Times New Roman" w:eastAsia="宋体" w:cs="Times New Roman"/>
                    </w:rPr>
                    <w:t>主要的风险或机遇描述</w:t>
                  </w:r>
                </w:p>
              </w:tc>
              <w:tc>
                <w:tcPr>
                  <w:tcW w:w="4291" w:type="dxa"/>
                </w:tcPr>
                <w:p>
                  <w:pPr>
                    <w:rPr>
                      <w:rFonts w:hint="eastAsia" w:ascii="Times New Roman" w:hAnsi="Times New Roman" w:eastAsia="宋体" w:cs="Times New Roman"/>
                    </w:rPr>
                  </w:pPr>
                  <w:r>
                    <w:rPr>
                      <w:rFonts w:hint="eastAsia" w:ascii="Times New Roman" w:hAnsi="Times New Roman" w:eastAsia="宋体" w:cs="Times New Roman"/>
                    </w:rPr>
                    <w:t>应对措施</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4" w:type="dxa"/>
                </w:tcPr>
                <w:p>
                  <w:pPr>
                    <w:rPr>
                      <w:rFonts w:hint="eastAsia" w:ascii="Times New Roman" w:hAnsi="Times New Roman" w:eastAsia="宋体" w:cs="Times New Roman"/>
                    </w:rPr>
                  </w:pPr>
                  <w:r>
                    <w:rPr>
                      <w:rFonts w:hint="eastAsia" w:ascii="Times New Roman" w:hAnsi="Times New Roman" w:eastAsia="宋体" w:cs="Times New Roman"/>
                    </w:rPr>
                    <w:t>计划制定不合理，导致无法按时完成计划任务，从而延误报告交付。</w:t>
                  </w:r>
                </w:p>
              </w:tc>
              <w:tc>
                <w:tcPr>
                  <w:tcW w:w="4291" w:type="dxa"/>
                </w:tcPr>
                <w:p>
                  <w:pPr>
                    <w:rPr>
                      <w:rFonts w:hint="eastAsia" w:ascii="Times New Roman" w:hAnsi="Times New Roman" w:eastAsia="宋体" w:cs="Times New Roman"/>
                    </w:rPr>
                  </w:pPr>
                  <w:r>
                    <w:rPr>
                      <w:rFonts w:hint="eastAsia" w:ascii="Times New Roman" w:hAnsi="Times New Roman" w:eastAsia="宋体" w:cs="Times New Roman"/>
                    </w:rPr>
                    <w:t xml:space="preserve">1.合理计算公司的实际产能。    2.依据报告特点和本公司的实际产能合理安排评价服务计划。 3.安排跟单员全程跟进评价服务计划的实现过程。 </w:t>
                  </w:r>
                </w:p>
              </w:tc>
              <w:tc>
                <w:tcPr>
                  <w:tcW w:w="1717"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4" w:type="dxa"/>
                </w:tcPr>
                <w:p>
                  <w:pPr>
                    <w:rPr>
                      <w:rFonts w:hint="eastAsia" w:ascii="Times New Roman" w:hAnsi="Times New Roman" w:eastAsia="宋体" w:cs="Times New Roman"/>
                    </w:rPr>
                  </w:pPr>
                  <w:r>
                    <w:rPr>
                      <w:rFonts w:hint="eastAsia" w:ascii="Times New Roman" w:hAnsi="Times New Roman" w:eastAsia="宋体" w:cs="Times New Roman"/>
                    </w:rPr>
                    <w:t>1.仪器精度不够，导致检测结果不准备。</w:t>
                  </w:r>
                </w:p>
              </w:tc>
              <w:tc>
                <w:tcPr>
                  <w:tcW w:w="4291" w:type="dxa"/>
                </w:tcPr>
                <w:p>
                  <w:pPr>
                    <w:rPr>
                      <w:rFonts w:hint="eastAsia" w:ascii="Times New Roman" w:hAnsi="Times New Roman" w:eastAsia="宋体" w:cs="Times New Roman"/>
                    </w:rPr>
                  </w:pPr>
                  <w:r>
                    <w:rPr>
                      <w:rFonts w:hint="eastAsia" w:ascii="Times New Roman" w:hAnsi="Times New Roman" w:eastAsia="宋体" w:cs="Times New Roman"/>
                    </w:rPr>
                    <w:t xml:space="preserve">1.建立仪器清单，并制度每年度的校准计划，按计划时间对仪器实施校准。                2.使用的仪器必须持有校准报告和张贴校准合格证。 </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4" w:type="dxa"/>
                </w:tcPr>
                <w:p>
                  <w:pPr>
                    <w:rPr>
                      <w:rFonts w:hint="eastAsia" w:ascii="Times New Roman" w:hAnsi="Times New Roman" w:eastAsia="宋体" w:cs="Times New Roman"/>
                    </w:rPr>
                  </w:pPr>
                  <w:r>
                    <w:rPr>
                      <w:rFonts w:hint="eastAsia" w:ascii="Times New Roman" w:hAnsi="Times New Roman" w:eastAsia="宋体" w:cs="Times New Roman"/>
                    </w:rPr>
                    <w:t>法律法规收集不全；法律法规收集不及时；法律法规变化不了解。</w:t>
                  </w:r>
                </w:p>
              </w:tc>
              <w:tc>
                <w:tcPr>
                  <w:tcW w:w="4291" w:type="dxa"/>
                </w:tcPr>
                <w:p>
                  <w:pPr>
                    <w:rPr>
                      <w:rFonts w:hint="eastAsia" w:ascii="Times New Roman" w:hAnsi="Times New Roman" w:eastAsia="宋体" w:cs="Times New Roman"/>
                      <w:lang w:eastAsia="zh-CN"/>
                    </w:rPr>
                  </w:pPr>
                  <w:r>
                    <w:rPr>
                      <w:rFonts w:hint="eastAsia" w:ascii="Times New Roman" w:hAnsi="Times New Roman" w:eastAsia="宋体" w:cs="Times New Roman"/>
                    </w:rPr>
                    <w:t>建立对相关法律法规的更新信息的渠道</w:t>
                  </w:r>
                  <w:r>
                    <w:rPr>
                      <w:rFonts w:hint="eastAsia" w:ascii="Times New Roman" w:hAnsi="Times New Roman" w:eastAsia="宋体" w:cs="Times New Roman"/>
                      <w:lang w:eastAsia="zh-CN"/>
                    </w:rPr>
                    <w:t>、实施对公司的适宜的法律法规更新</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4" w:type="dxa"/>
                </w:tcPr>
                <w:p>
                  <w:pPr>
                    <w:rPr>
                      <w:rFonts w:hint="eastAsia" w:ascii="Times New Roman" w:hAnsi="Times New Roman" w:eastAsia="宋体" w:cs="Times New Roman"/>
                    </w:rPr>
                  </w:pPr>
                </w:p>
              </w:tc>
              <w:tc>
                <w:tcPr>
                  <w:tcW w:w="4291" w:type="dxa"/>
                </w:tcPr>
                <w:p>
                  <w:pPr>
                    <w:rPr>
                      <w:rFonts w:hint="eastAsia" w:ascii="Times New Roman" w:hAnsi="Times New Roman" w:eastAsia="宋体" w:cs="Times New Roman"/>
                    </w:rPr>
                  </w:pPr>
                </w:p>
              </w:tc>
              <w:tc>
                <w:tcPr>
                  <w:tcW w:w="1717" w:type="dxa"/>
                </w:tcPr>
                <w:p>
                  <w:pPr>
                    <w:rPr>
                      <w:rFonts w:hint="eastAsia" w:ascii="Times New Roman" w:hAnsi="Times New Roman" w:eastAsia="宋体" w:cs="Times New Roma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eastAsia="宋体" w:cs="Times New Roman"/>
                      <w:color w:val="000000"/>
                      <w:szCs w:val="18"/>
                    </w:rPr>
                    <w:t>重大安全事故为0</w:t>
                  </w:r>
                </w:p>
              </w:tc>
              <w:tc>
                <w:tcPr>
                  <w:tcW w:w="3136" w:type="dxa"/>
                  <w:shd w:val="clear" w:color="auto" w:fill="auto"/>
                  <w:vAlign w:val="center"/>
                </w:tcPr>
                <w:p>
                  <w:pPr>
                    <w:rPr>
                      <w:rFonts w:hint="default" w:eastAsia="宋体"/>
                      <w:lang w:val="en-US" w:eastAsia="zh-CN"/>
                    </w:rPr>
                  </w:pPr>
                  <w:r>
                    <w:rPr>
                      <w:rFonts w:hint="eastAsia"/>
                      <w:lang w:val="en-US" w:eastAsia="zh-CN"/>
                    </w:rPr>
                    <w:t>运行控制</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91" w:type="dxa"/>
                  <w:shd w:val="clear" w:color="auto" w:fill="auto"/>
                </w:tcPr>
                <w:p>
                  <w:pPr>
                    <w:rPr>
                      <w:rFonts w:hint="default"/>
                      <w:lang w:val="en-US"/>
                    </w:rPr>
                  </w:pPr>
                  <w:r>
                    <w:rPr>
                      <w:rFonts w:hint="eastAsia"/>
                      <w:sz w:val="18"/>
                      <w:szCs w:val="18"/>
                      <w:lang w:val="en-US" w:eastAsia="zh-CN"/>
                    </w:rPr>
                    <w:t>潜在火灾0</w:t>
                  </w:r>
                </w:p>
              </w:tc>
              <w:tc>
                <w:tcPr>
                  <w:tcW w:w="3136" w:type="dxa"/>
                  <w:shd w:val="clear" w:color="auto" w:fill="auto"/>
                  <w:vAlign w:val="center"/>
                </w:tcPr>
                <w:p>
                  <w:pPr>
                    <w:rPr>
                      <w:rFonts w:ascii="宋体" w:hAnsi="宋体"/>
                    </w:rPr>
                  </w:pPr>
                  <w:r>
                    <w:rPr>
                      <w:rFonts w:hint="eastAsia"/>
                      <w:lang w:val="en-US" w:eastAsia="zh-CN"/>
                    </w:rPr>
                    <w:t>运行控制</w:t>
                  </w:r>
                </w:p>
              </w:tc>
              <w:tc>
                <w:tcPr>
                  <w:tcW w:w="1350" w:type="dxa"/>
                  <w:shd w:val="clear" w:color="auto" w:fill="auto"/>
                  <w:vAlign w:val="center"/>
                </w:tcPr>
                <w:p>
                  <w:pPr>
                    <w:rPr>
                      <w:rFonts w:ascii="宋体" w:hAnsi="宋体"/>
                    </w:rPr>
                  </w:pPr>
                  <w:r>
                    <w:rPr>
                      <w:rFonts w:hint="eastAsia"/>
                      <w:lang w:val="en-US" w:eastAsia="zh-CN"/>
                    </w:rPr>
                    <w:t>办公室</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w:t>
            </w:r>
            <w:r>
              <w:rPr>
                <w:rFonts w:hint="eastAsia"/>
                <w:lang w:val="en-US" w:eastAsia="zh-CN"/>
              </w:rPr>
              <w:t>340</w:t>
            </w:r>
            <w:r>
              <w:rPr>
                <w:rFonts w:hint="eastAsia"/>
              </w:rPr>
              <w:t>平方米；生产车间</w:t>
            </w:r>
            <w:r>
              <w:rPr>
                <w:rFonts w:hint="eastAsia"/>
                <w:lang w:val="en-US" w:eastAsia="zh-CN"/>
              </w:rPr>
              <w:t xml:space="preserve"> </w:t>
            </w:r>
            <w:r>
              <w:rPr>
                <w:rFonts w:hint="eastAsia"/>
              </w:rPr>
              <w:t>个；库房</w:t>
            </w:r>
            <w:r>
              <w:rPr>
                <w:rFonts w:hint="eastAsia"/>
                <w:lang w:val="en-US" w:eastAsia="zh-CN"/>
              </w:rPr>
              <w:t>1</w:t>
            </w:r>
            <w:r>
              <w:rPr>
                <w:rFonts w:hint="eastAsia"/>
              </w:rPr>
              <w:t>个；实验室个；</w:t>
            </w:r>
          </w:p>
          <w:p>
            <w:pPr>
              <w:rPr>
                <w:rFonts w:hint="eastAsia"/>
              </w:rPr>
            </w:pPr>
            <w:r>
              <w:rPr>
                <w:rFonts w:hint="eastAsia"/>
              </w:rPr>
              <w:t>主要生产设备有：</w:t>
            </w:r>
            <w:r>
              <w:rPr>
                <w:rFonts w:hint="eastAsia"/>
                <w:lang w:val="en-US" w:eastAsia="zh-CN"/>
              </w:rPr>
              <w:t>电脑、打印机、综合试波速测试仪、爆破测振仪</w:t>
            </w:r>
            <w:r>
              <w:rPr>
                <w:rFonts w:hint="eastAsia"/>
              </w:rPr>
              <w:t>（举2~4种）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A3"/>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rPr>
                    <w:sym w:font="Wingdings 2" w:char="0052"/>
                  </w:r>
                  <w:r>
                    <w:rPr>
                      <w:rFonts w:hint="eastAsia"/>
                      <w:lang w:val="en-US" w:eastAsia="zh-CN"/>
                    </w:rPr>
                    <w:t>消防管控</w:t>
                  </w:r>
                  <w:r>
                    <w:rPr>
                      <w:rFonts w:hint="eastAsia"/>
                    </w:rPr>
                    <w:sym w:font="Wingdings 2" w:char="0052"/>
                  </w:r>
                  <w:r>
                    <w:rPr>
                      <w:rFonts w:hint="eastAsia"/>
                      <w:lang w:val="en-US" w:eastAsia="zh-CN"/>
                    </w:rPr>
                    <w:t>应急演练</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val="en-US" w:eastAsia="zh-CN"/>
              </w:rPr>
              <w:t>-出具报告，对其有效性负责</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lang w:eastAsia="zh-CN"/>
              </w:rPr>
              <w:t>于2021年4月20日进行了的演练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sym w:font="Wingdings 2" w:char="0052"/>
            </w:r>
            <w:r>
              <w:rPr>
                <w:rFonts w:hint="eastAsia"/>
                <w:lang w:eastAsia="zh-CN"/>
              </w:rPr>
              <w:t>定期（每年）：</w:t>
            </w:r>
            <w:r>
              <w:rPr>
                <w:rFonts w:hint="eastAsia"/>
                <w:color w:val="FF0000"/>
                <w:lang w:eastAsia="zh-CN"/>
              </w:rPr>
              <w:t>2021年10月28日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年度策划于2021年10月15日</w:t>
            </w:r>
            <w:r>
              <w:rPr>
                <w:rFonts w:hint="eastAsia"/>
              </w:rPr>
              <w:t>实施了职业健康安全管理体系内部审核，对职业健康安全管理体系的符合性和有效性进行了审核。</w:t>
            </w:r>
            <w:r>
              <w:rPr>
                <w:rFonts w:hint="eastAsia"/>
                <w:lang w:eastAsia="zh-CN"/>
              </w:rPr>
              <w:t>内审发现的1项</w:t>
            </w:r>
            <w:r>
              <w:rPr>
                <w:rFonts w:hint="eastAsia"/>
              </w:rPr>
              <w:t>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lang w:eastAsia="zh-CN"/>
              </w:rPr>
              <w:t>在2021年11月18日对组织的</w:t>
            </w:r>
            <w:r>
              <w:rPr>
                <w:rFonts w:hint="eastAsia"/>
              </w:rPr>
              <w:t>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C590080"/>
    <w:rsid w:val="34777285"/>
    <w:rsid w:val="41AD3C50"/>
    <w:rsid w:val="5FB41E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191</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2022-01-04T18:24:49Z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