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2"/>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056"/>
        <w:gridCol w:w="11842"/>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1"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4"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受审核部门：监测评估部                      主管领导：路建波</w:t>
            </w:r>
          </w:p>
        </w:tc>
        <w:tc>
          <w:tcPr>
            <w:tcW w:w="158"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4"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审核员： 张磊             审核时间：2021.12.16下午—2021.12.17上午</w:t>
            </w:r>
          </w:p>
        </w:tc>
        <w:tc>
          <w:tcPr>
            <w:tcW w:w="158"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491"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4"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审核条款：</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QMS-2015</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5.3岗位/职责 /权限；6.2质量目标及其实现的策划；7.1.3基础设施；  7.1.4过程运行环境；7.1.5监视和测量资源；8.5.1生产和服务提供的控制；8.5.2标识和可追溯性；8.5.4防护；8.5.5交付后的活动；8.5.6更改控制 ；8.6产品和服务放行；8.7不合格输出的控制</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 xml:space="preserve">EMS-2015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5.3组织的角色、职责和权限、6.1.2环境因素；6.2目标及其达成的策划；8.1运行策划和控制；8.2应急准备和响应</w:t>
            </w:r>
          </w:p>
          <w:p>
            <w:pPr>
              <w:rPr>
                <w:rFonts w:hint="eastAsia" w:ascii="楷体" w:hAnsi="楷体" w:eastAsia="楷体" w:cs="宋体"/>
                <w:bCs w:val="0"/>
                <w:color w:val="000000"/>
                <w:spacing w:val="0"/>
                <w:kern w:val="2"/>
                <w:sz w:val="24"/>
                <w:szCs w:val="24"/>
                <w:lang w:val="de-DE" w:eastAsia="zh-CN" w:bidi="ar-SA"/>
              </w:rPr>
            </w:pPr>
            <w:r>
              <w:rPr>
                <w:rFonts w:hint="eastAsia" w:ascii="楷体" w:hAnsi="楷体" w:eastAsia="楷体" w:cs="宋体"/>
                <w:bCs w:val="0"/>
                <w:color w:val="000000"/>
                <w:spacing w:val="0"/>
                <w:kern w:val="2"/>
                <w:sz w:val="24"/>
                <w:szCs w:val="24"/>
                <w:lang w:val="de-DE" w:eastAsia="zh-CN" w:bidi="ar-SA"/>
              </w:rPr>
              <w:t xml:space="preserve">ISO 45001：2018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5.3组织的角色、职责和权限、6.1.2危险源；6.2目标及其达成的策划；8.1运行策划和控制；8.2应急准备和响应</w:t>
            </w:r>
          </w:p>
        </w:tc>
        <w:tc>
          <w:tcPr>
            <w:tcW w:w="158"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组织的岗位、职责权限</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Q5.3</w:t>
            </w:r>
          </w:p>
        </w:tc>
        <w:tc>
          <w:tcPr>
            <w:tcW w:w="3994"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监测评估部负责人：路建波</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承担震害风险评估领域相关工作：发展地震灾害风险评估技术，定期编制多尺度、高精度的区域地震灾害风险区划图。开展地震灾害防治区划，提出区域的多层级、多水准地震灾害风险防治措施。建立地震灾害风险评估模型，开展地震及相关次生灾害全过程模拟与风险评估。参与各级政府重建规划编制，为灾后恢复重建提供抗震设防要求。发展建筑结构地震损伤识别技术，全面掌握地震易发区房屋设施地震灾害风险基础信息等方面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承担震害安全监测领域相关工作：发展地震易发区的建（构）构物和重大工程地震破坏状态时监测技术，开展地震灾害定量化风险动态评估。发展重大工程结构地震安全监测与健康诊断技术、地震地质灾害易发区和地震次生灾害危险源动态监测技术，推动重大工程地震灾害风险实时预警。面向特大桥梁、高层建筑、大型机场等超大型结构，开展工程健康诊断应用业务。面向高铁、长输管线、轨道交通等生命线工程和水库、大坝、核电等重要实施，开展震害运维安全监测应用业务。面向滑坡、坍塌以及爆炸等，开展非天然地震监测应用业务等。</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承担中心震害风险评估领域发展规划制定、震害安全监测领域发展规划制定、重点项目(科研)建议书、可研报告编写工作；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3.承担地震应急现场调查和灾害损失评估工作；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4.承担重大工程地震灾害风险评估工程地震等方面技术咨询工作；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负责人对本部门的职责和权限以及工作流程清楚、明确完成本部门的目标指标。能较好回答部门职责，对工作要求明确。</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目标和方案</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QEO6.2</w:t>
            </w:r>
          </w:p>
        </w:tc>
        <w:tc>
          <w:tcPr>
            <w:tcW w:w="3994" w:type="pct"/>
            <w:noWrap w:val="0"/>
            <w:vAlign w:val="center"/>
          </w:tcPr>
          <w:p>
            <w:pPr>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部门目标：</w:t>
            </w:r>
          </w:p>
          <w:tbl>
            <w:tblPr>
              <w:tblStyle w:val="12"/>
              <w:tblpPr w:leftFromText="180" w:rightFromText="180" w:vertAnchor="text" w:horzAnchor="page" w:tblpXSpec="center" w:tblpY="2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2"/>
              <w:gridCol w:w="496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082"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分目标</w:t>
                  </w:r>
                </w:p>
              </w:tc>
              <w:tc>
                <w:tcPr>
                  <w:tcW w:w="4967"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考核方法</w:t>
                  </w:r>
                </w:p>
              </w:tc>
              <w:tc>
                <w:tcPr>
                  <w:tcW w:w="1539"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1法律、标准等贯彻执行率≥100%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适用法律法规、标准及时更新</w:t>
                  </w:r>
                  <w:r>
                    <w:rPr>
                      <w:rFonts w:hint="eastAsia" w:ascii="楷体" w:hAnsi="楷体" w:eastAsia="楷体" w:cs="宋体"/>
                      <w:bCs w:val="0"/>
                      <w:color w:val="000000"/>
                      <w:spacing w:val="0"/>
                      <w:kern w:val="2"/>
                      <w:sz w:val="24"/>
                      <w:szCs w:val="24"/>
                      <w:lang w:val="en-US" w:eastAsia="zh-CN" w:bidi="ar-SA"/>
                    </w:rPr>
                    <w:tab/>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2.持证上岗率≥100%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持证上岗率＝持证人数÷总人数数×100%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3．检测设备完好率≥100%.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完好率＝设备总数÷完好设备×100%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4.技术培训完成率大于等于100%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培训率＝培训人次÷培训总人数×100%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5.各类废弃物按规定处置率100%</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检查合格次数/总次数</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6.重大安全事故为0（触电、交通事故、中暑）</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检查实际情况</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7.杜绝火灾事故发生</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检查实际情况</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bl>
          <w:p>
            <w:pPr>
              <w:jc w:val="both"/>
              <w:rPr>
                <w:rFonts w:hint="eastAsia" w:ascii="楷体" w:hAnsi="楷体" w:eastAsia="楷体" w:cs="宋体"/>
                <w:bCs w:val="0"/>
                <w:color w:val="000000"/>
                <w:spacing w:val="0"/>
                <w:kern w:val="2"/>
                <w:sz w:val="24"/>
                <w:szCs w:val="24"/>
                <w:lang w:val="en-US" w:eastAsia="zh-CN" w:bidi="ar-SA"/>
              </w:rPr>
            </w:pP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查目标分解与考核，企业于2021.11.30日已完成考核任务。</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部门分解目标与公司方针一致，可测量，并传达到部门相关人员，必要时适时更新，目前无变化。</w:t>
            </w:r>
          </w:p>
          <w:p>
            <w:pPr>
              <w:pStyle w:val="15"/>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配备有效的灭火器等消防设施，安全操作隐患检查每月至少1次、远程视频每天检查操作规范性，防止影响环境的操作等……</w:t>
            </w:r>
          </w:p>
          <w:p>
            <w:pPr>
              <w:pStyle w:val="15"/>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提供2021年7月5号《环境目标、指标/职业健康安全目标与管理方案及实施情况一览表》，完成情况：以上各指标标均已达成。时间表：自管理体系运行以来持续进行，已按管理方案要求实施。</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1" w:type="pct"/>
            <w:noWrap w:val="0"/>
            <w:vAlign w:val="top"/>
          </w:tcPr>
          <w:p>
            <w:pPr>
              <w:spacing w:line="360" w:lineRule="auto"/>
              <w:rPr>
                <w:rFonts w:ascii="楷体" w:hAnsi="楷体" w:eastAsia="楷体"/>
                <w:bCs/>
                <w:szCs w:val="24"/>
              </w:rPr>
            </w:pPr>
            <w:r>
              <w:rPr>
                <w:rFonts w:hint="eastAsia" w:ascii="楷体" w:hAnsi="楷体" w:eastAsia="楷体"/>
                <w:bCs/>
                <w:szCs w:val="24"/>
              </w:rPr>
              <w:t>环境因素</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危险源</w:t>
            </w:r>
          </w:p>
        </w:tc>
        <w:tc>
          <w:tcPr>
            <w:tcW w:w="356" w:type="pct"/>
            <w:noWrap w:val="0"/>
            <w:vAlign w:val="top"/>
          </w:tcPr>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EO6.1.2</w:t>
            </w:r>
          </w:p>
        </w:tc>
        <w:tc>
          <w:tcPr>
            <w:tcW w:w="3994" w:type="pct"/>
            <w:noWrap w:val="0"/>
            <w:vAlign w:val="top"/>
          </w:tcPr>
          <w:p>
            <w:pPr>
              <w:snapToGrid w:val="0"/>
              <w:spacing w:line="400" w:lineRule="exact"/>
              <w:ind w:firstLine="480" w:firstLineChars="200"/>
              <w:rPr>
                <w:rFonts w:ascii="华文楷体" w:hAnsi="华文楷体" w:eastAsia="华文楷体"/>
                <w:sz w:val="24"/>
                <w:szCs w:val="24"/>
              </w:rPr>
            </w:pPr>
            <w:r>
              <w:rPr>
                <w:rFonts w:hint="eastAsia" w:ascii="华文楷体" w:hAnsi="华文楷体" w:eastAsia="华文楷体"/>
                <w:sz w:val="24"/>
                <w:szCs w:val="24"/>
                <w:lang w:eastAsia="zh-CN"/>
              </w:rPr>
              <w:t>远程视频</w:t>
            </w:r>
            <w:r>
              <w:rPr>
                <w:rFonts w:hint="eastAsia" w:ascii="华文楷体" w:hAnsi="华文楷体" w:eastAsia="华文楷体"/>
                <w:sz w:val="24"/>
                <w:szCs w:val="24"/>
              </w:rPr>
              <w:t>提供了《环境因素识别与评价管理程序》、《危险源辨识与风险评价控制措施管理程序》，对环境因素、危险源的识别、评价结果、控制手段等做出了规定。</w:t>
            </w:r>
          </w:p>
          <w:p>
            <w:pPr>
              <w:snapToGrid w:val="0"/>
              <w:spacing w:line="400" w:lineRule="exact"/>
              <w:rPr>
                <w:rFonts w:ascii="华文楷体" w:hAnsi="华文楷体" w:eastAsia="华文楷体"/>
                <w:sz w:val="24"/>
                <w:szCs w:val="24"/>
              </w:rPr>
            </w:pPr>
            <w:r>
              <w:rPr>
                <w:rFonts w:hint="eastAsia" w:ascii="华文楷体" w:hAnsi="华文楷体" w:eastAsia="华文楷体"/>
                <w:sz w:val="24"/>
                <w:szCs w:val="24"/>
                <w:lang w:eastAsia="zh-CN"/>
              </w:rPr>
              <w:t>监测评估部</w:t>
            </w:r>
            <w:r>
              <w:rPr>
                <w:rFonts w:hint="eastAsia" w:ascii="华文楷体" w:hAnsi="华文楷体" w:eastAsia="华文楷体"/>
                <w:sz w:val="24"/>
                <w:szCs w:val="24"/>
              </w:rPr>
              <w:t>负责本部门的环境因素、危险源的识别、评价和控制。</w:t>
            </w:r>
          </w:p>
          <w:p>
            <w:pPr>
              <w:spacing w:line="400" w:lineRule="exact"/>
              <w:rPr>
                <w:rFonts w:ascii="华文楷体" w:hAnsi="华文楷体" w:eastAsia="华文楷体" w:cs="宋体"/>
                <w:sz w:val="24"/>
                <w:szCs w:val="24"/>
              </w:rPr>
            </w:pPr>
            <w:r>
              <w:rPr>
                <w:rFonts w:hint="eastAsia" w:ascii="华文楷体" w:hAnsi="华文楷体" w:eastAsia="华文楷体" w:cs="宋体"/>
                <w:sz w:val="24"/>
                <w:szCs w:val="24"/>
              </w:rPr>
              <w:t>　　部门负责人介绍了对环境因素、危险源进行了辨识，考虑了三种时态，过去、现在和将来，三种状态，正常、异常和紧急，按照办公过程及检验工作过程等进行了辨识</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查《环境因素</w:t>
            </w:r>
            <w:r>
              <w:rPr>
                <w:rFonts w:hint="eastAsia" w:ascii="华文楷体" w:hAnsi="华文楷体" w:eastAsia="华文楷体" w:cs="宋体"/>
                <w:sz w:val="24"/>
                <w:szCs w:val="24"/>
                <w:lang w:val="en-US" w:eastAsia="zh-CN"/>
              </w:rPr>
              <w:t>调查</w:t>
            </w:r>
            <w:r>
              <w:rPr>
                <w:rFonts w:hint="eastAsia" w:ascii="华文楷体" w:hAnsi="华文楷体" w:eastAsia="华文楷体" w:cs="宋体"/>
                <w:sz w:val="24"/>
                <w:szCs w:val="24"/>
              </w:rPr>
              <w:t>评价表》，对本部门办公和检验等有关过程的环境因素。分别识别了日常办公过程中的固废（废电池、灯管、墨盒、</w:t>
            </w:r>
            <w:r>
              <w:rPr>
                <w:rFonts w:hint="eastAsia" w:ascii="华文楷体" w:hAnsi="华文楷体" w:eastAsia="华文楷体" w:cs="宋体"/>
                <w:sz w:val="24"/>
                <w:szCs w:val="24"/>
                <w:lang w:val="en-US" w:eastAsia="zh-CN"/>
              </w:rPr>
              <w:t>实验产生的废弃原物料</w:t>
            </w:r>
            <w:r>
              <w:rPr>
                <w:rFonts w:hint="eastAsia" w:ascii="华文楷体" w:hAnsi="华文楷体" w:eastAsia="华文楷体" w:cs="宋体"/>
                <w:sz w:val="24"/>
                <w:szCs w:val="24"/>
              </w:rPr>
              <w:t>）造成的</w:t>
            </w:r>
            <w:r>
              <w:rPr>
                <w:rFonts w:hint="eastAsia" w:ascii="华文楷体" w:hAnsi="华文楷体" w:eastAsia="华文楷体" w:cs="宋体"/>
                <w:sz w:val="24"/>
                <w:szCs w:val="24"/>
                <w:lang w:val="en-US" w:eastAsia="zh-CN"/>
              </w:rPr>
              <w:t>固体</w:t>
            </w:r>
            <w:r>
              <w:rPr>
                <w:rFonts w:hint="eastAsia" w:ascii="华文楷体" w:hAnsi="华文楷体" w:eastAsia="华文楷体" w:cs="宋体"/>
                <w:sz w:val="24"/>
                <w:szCs w:val="24"/>
              </w:rPr>
              <w:t>污染、水资源利用（拖地、厕所用水）的水资源消耗、照明、空调、办公设施等电能消耗、意外火灾引起的污染大气、污染地面、资源消耗等环境因素。</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查到：《重要环境因素清单》，</w:t>
            </w:r>
            <w:r>
              <w:rPr>
                <w:rFonts w:hint="eastAsia" w:ascii="华文楷体" w:hAnsi="华文楷体" w:eastAsia="华文楷体" w:cs="宋体"/>
                <w:sz w:val="24"/>
                <w:szCs w:val="24"/>
                <w:lang w:eastAsia="zh-CN"/>
              </w:rPr>
              <w:t>监测评估部</w:t>
            </w:r>
            <w:r>
              <w:rPr>
                <w:rFonts w:hint="eastAsia" w:ascii="华文楷体" w:hAnsi="华文楷体" w:eastAsia="华文楷体" w:cs="宋体"/>
                <w:sz w:val="24"/>
                <w:szCs w:val="24"/>
              </w:rPr>
              <w:t>涉及重要环境因素：固体废弃物、火灾事故的发生。</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查《危险源辨识及风险评价表》，</w:t>
            </w:r>
            <w:r>
              <w:rPr>
                <w:rFonts w:hint="eastAsia" w:ascii="华文楷体" w:hAnsi="华文楷体" w:eastAsia="华文楷体" w:cs="宋体"/>
                <w:sz w:val="24"/>
                <w:szCs w:val="24"/>
                <w:lang w:eastAsia="zh-TW"/>
              </w:rPr>
              <w:t>部门：</w:t>
            </w:r>
            <w:r>
              <w:rPr>
                <w:rFonts w:hint="eastAsia" w:ascii="华文楷体" w:hAnsi="华文楷体" w:eastAsia="华文楷体" w:cs="宋体"/>
                <w:sz w:val="24"/>
                <w:szCs w:val="24"/>
                <w:lang w:val="en-US" w:eastAsia="zh-CN"/>
              </w:rPr>
              <w:t>监测评估部</w:t>
            </w:r>
            <w:r>
              <w:rPr>
                <w:rFonts w:hint="eastAsia" w:ascii="华文楷体" w:hAnsi="华文楷体" w:eastAsia="华文楷体" w:cs="宋体"/>
                <w:sz w:val="24"/>
                <w:szCs w:val="24"/>
                <w:lang w:eastAsia="zh-TW"/>
              </w:rPr>
              <w:t>，识别了办公过程中</w:t>
            </w:r>
            <w:r>
              <w:rPr>
                <w:rFonts w:hint="eastAsia" w:ascii="华文楷体" w:hAnsi="华文楷体" w:eastAsia="华文楷体" w:cs="宋体"/>
                <w:sz w:val="24"/>
                <w:szCs w:val="24"/>
                <w:lang w:val="en-US" w:eastAsia="zh-TW"/>
              </w:rPr>
              <w:t>办公场所随意动火</w:t>
            </w:r>
            <w:r>
              <w:rPr>
                <w:rFonts w:hint="eastAsia" w:ascii="华文楷体" w:hAnsi="华文楷体" w:eastAsia="华文楷体" w:cs="宋体"/>
                <w:sz w:val="24"/>
                <w:szCs w:val="24"/>
                <w:lang w:val="en-US" w:eastAsia="zh-CN"/>
              </w:rPr>
              <w:t>导致的火灾</w:t>
            </w:r>
            <w:r>
              <w:rPr>
                <w:rFonts w:hint="eastAsia" w:ascii="华文楷体" w:hAnsi="华文楷体" w:eastAsia="华文楷体" w:cs="宋体"/>
                <w:sz w:val="24"/>
                <w:szCs w:val="24"/>
                <w:lang w:eastAsia="zh-TW"/>
              </w:rPr>
              <w:t>、</w:t>
            </w:r>
            <w:r>
              <w:rPr>
                <w:rFonts w:hint="eastAsia" w:ascii="华文楷体" w:hAnsi="华文楷体" w:eastAsia="华文楷体" w:cs="宋体"/>
                <w:sz w:val="24"/>
                <w:szCs w:val="24"/>
              </w:rPr>
              <w:t>人离开未断电源</w:t>
            </w:r>
            <w:r>
              <w:rPr>
                <w:rFonts w:hint="eastAsia" w:ascii="华文楷体" w:hAnsi="华文楷体" w:eastAsia="华文楷体" w:cs="宋体"/>
                <w:sz w:val="24"/>
                <w:szCs w:val="24"/>
                <w:lang w:eastAsia="zh-TW"/>
              </w:rPr>
              <w:t>可能导致的的</w:t>
            </w:r>
            <w:r>
              <w:rPr>
                <w:rFonts w:hint="eastAsia" w:ascii="华文楷体" w:hAnsi="华文楷体" w:eastAsia="华文楷体" w:cs="宋体"/>
                <w:sz w:val="24"/>
                <w:szCs w:val="24"/>
                <w:lang w:val="en-US" w:eastAsia="zh-CN"/>
              </w:rPr>
              <w:t>触电或</w:t>
            </w:r>
            <w:r>
              <w:rPr>
                <w:rFonts w:hint="eastAsia" w:ascii="华文楷体" w:hAnsi="华文楷体" w:eastAsia="华文楷体" w:cs="宋体"/>
                <w:sz w:val="24"/>
                <w:szCs w:val="24"/>
                <w:lang w:eastAsia="zh-TW"/>
              </w:rPr>
              <w:t>火灾、</w:t>
            </w:r>
            <w:r>
              <w:rPr>
                <w:rFonts w:hint="eastAsia" w:ascii="华文楷体" w:hAnsi="华文楷体" w:eastAsia="华文楷体" w:cs="宋体"/>
                <w:sz w:val="24"/>
                <w:szCs w:val="24"/>
              </w:rPr>
              <w:t>违规</w:t>
            </w:r>
            <w:r>
              <w:rPr>
                <w:rFonts w:hint="eastAsia" w:ascii="华文楷体" w:hAnsi="华文楷体" w:eastAsia="华文楷体" w:cs="宋体"/>
                <w:sz w:val="24"/>
                <w:szCs w:val="24"/>
                <w:lang w:val="en-US" w:eastAsia="zh-CN"/>
              </w:rPr>
              <w:t>行驶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交通事故</w:t>
            </w:r>
            <w:r>
              <w:rPr>
                <w:rFonts w:hint="eastAsia" w:ascii="华文楷体" w:hAnsi="华文楷体" w:eastAsia="华文楷体" w:cs="宋体"/>
                <w:sz w:val="24"/>
                <w:szCs w:val="24"/>
                <w:lang w:eastAsia="zh-TW"/>
              </w:rPr>
              <w:t>等危险源</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户外作业导致的中暑</w:t>
            </w:r>
            <w:r>
              <w:rPr>
                <w:rFonts w:hint="eastAsia" w:ascii="华文楷体" w:hAnsi="华文楷体" w:eastAsia="华文楷体" w:cs="宋体"/>
                <w:sz w:val="24"/>
                <w:szCs w:val="24"/>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w:t>
            </w:r>
            <w:r>
              <w:rPr>
                <w:rFonts w:hint="eastAsia" w:ascii="华文楷体" w:hAnsi="华文楷体" w:eastAsia="华文楷体" w:cs="宋体"/>
                <w:sz w:val="24"/>
                <w:szCs w:val="24"/>
                <w:lang w:eastAsia="zh-CN"/>
              </w:rPr>
              <w:t>重 要 风 险 危 险 源 清 单</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CN"/>
              </w:rPr>
              <w:t>监测评估部</w:t>
            </w:r>
            <w:r>
              <w:rPr>
                <w:rFonts w:hint="eastAsia" w:ascii="华文楷体" w:hAnsi="华文楷体" w:eastAsia="华文楷体" w:cs="宋体"/>
                <w:sz w:val="24"/>
                <w:szCs w:val="24"/>
                <w:lang w:eastAsia="zh-TW"/>
              </w:rPr>
              <w:t>涉及的不可接受风险：触电</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TW"/>
              </w:rPr>
              <w:t>火灾</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交通事故、中暑</w:t>
            </w:r>
            <w:r>
              <w:rPr>
                <w:rFonts w:hint="eastAsia" w:ascii="华文楷体" w:hAnsi="华文楷体" w:eastAsia="华文楷体" w:cs="宋体"/>
                <w:sz w:val="24"/>
                <w:szCs w:val="24"/>
                <w:lang w:eastAsia="zh-TW"/>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lang w:eastAsia="zh-TW"/>
              </w:rPr>
              <w:t>对于</w:t>
            </w:r>
            <w:r>
              <w:rPr>
                <w:rFonts w:hint="eastAsia" w:ascii="华文楷体" w:hAnsi="华文楷体" w:eastAsia="华文楷体" w:cs="宋体"/>
                <w:sz w:val="24"/>
                <w:szCs w:val="24"/>
              </w:rPr>
              <w:t>环境因素、重要环境因素及危险源、不可接受风险等通过运行控制、管理方案、应急准备与响应进行控制。</w:t>
            </w:r>
          </w:p>
          <w:p>
            <w:pPr>
              <w:spacing w:line="400" w:lineRule="exact"/>
              <w:ind w:firstLine="480" w:firstLineChars="200"/>
              <w:rPr>
                <w:rFonts w:hint="eastAsia" w:ascii="楷体" w:hAnsi="楷体" w:eastAsia="楷体" w:cs="Times New Roman"/>
                <w:sz w:val="24"/>
                <w:szCs w:val="24"/>
              </w:rPr>
            </w:pPr>
            <w:r>
              <w:rPr>
                <w:rFonts w:hint="eastAsia" w:ascii="华文楷体" w:hAnsi="华文楷体" w:eastAsia="华文楷体" w:cs="宋体"/>
                <w:sz w:val="24"/>
                <w:szCs w:val="24"/>
                <w:lang w:val="en-US" w:eastAsia="zh-CN"/>
              </w:rPr>
              <w:t>监测评估部</w:t>
            </w:r>
            <w:r>
              <w:rPr>
                <w:rFonts w:hint="eastAsia" w:ascii="华文楷体" w:hAnsi="华文楷体" w:eastAsia="华文楷体" w:cs="宋体"/>
                <w:sz w:val="24"/>
                <w:szCs w:val="24"/>
              </w:rPr>
              <w:t>环境因素、危险的识别、评价基本符合标准要求。</w:t>
            </w:r>
          </w:p>
        </w:tc>
        <w:tc>
          <w:tcPr>
            <w:tcW w:w="158" w:type="pct"/>
            <w:noWrap w:val="0"/>
            <w:vAlign w:val="top"/>
          </w:tcPr>
          <w:p>
            <w:pPr>
              <w:jc w:val="cente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1" w:type="pct"/>
            <w:noWrap w:val="0"/>
            <w:vAlign w:val="top"/>
          </w:tcPr>
          <w:p>
            <w:pPr>
              <w:bidi w:val="0"/>
              <w:rPr>
                <w:rFonts w:hint="eastAsia" w:ascii="楷体" w:hAnsi="楷体" w:eastAsia="楷体"/>
                <w:bCs/>
                <w:szCs w:val="24"/>
              </w:rPr>
            </w:pPr>
            <w:r>
              <w:rPr>
                <w:rFonts w:hint="eastAsia" w:ascii="楷体" w:hAnsi="楷体" w:eastAsia="楷体" w:cs="楷体"/>
                <w:sz w:val="21"/>
                <w:szCs w:val="21"/>
              </w:rPr>
              <w:t>监视和测量资源</w:t>
            </w:r>
          </w:p>
        </w:tc>
        <w:tc>
          <w:tcPr>
            <w:tcW w:w="356" w:type="pct"/>
            <w:noWrap w:val="0"/>
            <w:vAlign w:val="top"/>
          </w:tcPr>
          <w:p>
            <w:pPr>
              <w:bidi w:val="0"/>
              <w:rPr>
                <w:rFonts w:hint="eastAsia" w:ascii="楷体" w:hAnsi="楷体" w:eastAsia="楷体"/>
                <w:bCs/>
                <w:szCs w:val="24"/>
              </w:rPr>
            </w:pPr>
            <w:r>
              <w:rPr>
                <w:rFonts w:hint="eastAsia" w:ascii="楷体" w:hAnsi="楷体" w:eastAsia="楷体" w:cs="楷体"/>
                <w:sz w:val="21"/>
                <w:szCs w:val="21"/>
              </w:rPr>
              <w:t>7.1.5</w:t>
            </w:r>
          </w:p>
        </w:tc>
        <w:tc>
          <w:tcPr>
            <w:tcW w:w="3994" w:type="pct"/>
            <w:noWrap w:val="0"/>
            <w:vAlign w:val="top"/>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●建立有《监视和测量设备台帐》监视测量仪器有：综合试波速测试仪</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爆破测振仪</w:t>
            </w:r>
            <w:r>
              <w:rPr>
                <w:rFonts w:hint="eastAsia" w:ascii="楷体" w:hAnsi="楷体" w:eastAsia="楷体" w:cs="楷体"/>
                <w:sz w:val="21"/>
                <w:szCs w:val="21"/>
                <w:lang w:eastAsia="zh-CN"/>
              </w:rPr>
              <w:t>、强震仪</w:t>
            </w:r>
            <w:r>
              <w:rPr>
                <w:rFonts w:hint="eastAsia" w:ascii="楷体" w:hAnsi="楷体" w:eastAsia="楷体" w:cs="楷体"/>
                <w:sz w:val="21"/>
                <w:szCs w:val="21"/>
                <w:lang w:val="en-US" w:eastAsia="zh-CN"/>
              </w:rPr>
              <w:t>等</w:t>
            </w:r>
            <w:r>
              <w:rPr>
                <w:rFonts w:hint="eastAsia" w:ascii="楷体" w:hAnsi="楷体" w:eastAsia="楷体" w:cs="楷体"/>
                <w:sz w:val="21"/>
                <w:szCs w:val="21"/>
                <w:lang w:eastAsia="zh-CN"/>
              </w:rPr>
              <w:t>，</w:t>
            </w:r>
            <w:r>
              <w:rPr>
                <w:rFonts w:hint="eastAsia" w:ascii="楷体" w:hAnsi="楷体" w:eastAsia="楷体" w:cs="楷体"/>
                <w:sz w:val="21"/>
                <w:szCs w:val="21"/>
              </w:rPr>
              <w:t>满足检验需求。</w:t>
            </w:r>
            <w:r>
              <w:rPr>
                <w:rFonts w:hint="eastAsia" w:ascii="楷体" w:hAnsi="楷体" w:eastAsia="楷体" w:cs="楷体"/>
                <w:sz w:val="21"/>
                <w:szCs w:val="21"/>
                <w:lang w:val="en-US" w:eastAsia="zh-CN"/>
              </w:rPr>
              <w:t xml:space="preserve"> </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●没有用于监测的计算机软件。</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●检测设备配置能满足产品检测需求。</w:t>
            </w:r>
          </w:p>
          <w:p>
            <w:pPr>
              <w:bidi w:val="0"/>
              <w:rPr>
                <w:rFonts w:hint="default" w:ascii="楷体" w:hAnsi="楷体" w:eastAsia="楷体" w:cs="楷体"/>
                <w:color w:val="0000FF"/>
                <w:sz w:val="21"/>
                <w:szCs w:val="21"/>
                <w:lang w:val="en-US" w:eastAsia="zh-CN"/>
              </w:rPr>
            </w:pP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企业对计量器具进行了送检，企业介绍2021年10月26日出报告，详见扫描件</w:t>
            </w:r>
          </w:p>
          <w:p>
            <w:pPr>
              <w:bidi w:val="0"/>
              <w:rPr>
                <w:rFonts w:hint="eastAsia" w:ascii="楷体" w:hAnsi="楷体" w:eastAsia="楷体" w:cs="楷体"/>
                <w:sz w:val="21"/>
                <w:szCs w:val="21"/>
              </w:rPr>
            </w:pPr>
            <w:r>
              <w:rPr>
                <w:rFonts w:hint="eastAsia" w:ascii="楷体" w:hAnsi="楷体" w:eastAsia="楷体" w:cs="楷体"/>
                <w:sz w:val="21"/>
                <w:szCs w:val="21"/>
              </w:rPr>
              <w:t>●该公司</w:t>
            </w:r>
            <w:r>
              <w:rPr>
                <w:rFonts w:hint="eastAsia" w:ascii="楷体" w:hAnsi="楷体" w:eastAsia="楷体" w:cs="楷体"/>
                <w:sz w:val="21"/>
                <w:szCs w:val="21"/>
                <w:lang w:eastAsia="zh-CN"/>
              </w:rPr>
              <w:t>生产部</w:t>
            </w:r>
            <w:r>
              <w:rPr>
                <w:rFonts w:hint="eastAsia" w:ascii="楷体" w:hAnsi="楷体" w:eastAsia="楷体" w:cs="楷体"/>
                <w:sz w:val="21"/>
                <w:szCs w:val="21"/>
              </w:rPr>
              <w:t>负责监视和测量设备的管理。</w:t>
            </w:r>
          </w:p>
          <w:p>
            <w:pPr>
              <w:bidi w:val="0"/>
              <w:rPr>
                <w:rFonts w:hint="eastAsia" w:ascii="华文楷体" w:hAnsi="华文楷体" w:eastAsia="华文楷体" w:cs="宋体"/>
                <w:sz w:val="24"/>
                <w:szCs w:val="24"/>
                <w:lang w:val="en-US" w:eastAsia="zh-CN"/>
              </w:rPr>
            </w:pPr>
            <w:r>
              <w:rPr>
                <w:rFonts w:hint="eastAsia" w:ascii="楷体" w:hAnsi="楷体" w:eastAsia="楷体" w:cs="楷体"/>
                <w:sz w:val="21"/>
                <w:szCs w:val="21"/>
              </w:rPr>
              <w:t>●使用过程中没有发生检测设备偏离校准状态现象。</w:t>
            </w:r>
          </w:p>
        </w:tc>
        <w:tc>
          <w:tcPr>
            <w:tcW w:w="158" w:type="pct"/>
            <w:noWrap w:val="0"/>
            <w:vAlign w:val="top"/>
          </w:tcPr>
          <w:p>
            <w:pPr>
              <w:bidi w:val="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bookmarkStart w:id="0" w:name="_GoBack"/>
            <w:bookmarkEnd w:id="0"/>
            <w:r>
              <w:rPr>
                <w:rFonts w:hint="eastAsia" w:ascii="楷体" w:hAnsi="楷体" w:eastAsia="楷体" w:cs="宋体"/>
                <w:bCs w:val="0"/>
                <w:color w:val="000000"/>
                <w:spacing w:val="0"/>
                <w:kern w:val="2"/>
                <w:sz w:val="24"/>
                <w:szCs w:val="24"/>
                <w:lang w:val="en-US" w:eastAsia="zh-CN" w:bidi="ar-SA"/>
              </w:rPr>
              <w:t>标识和可追溯性</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顾客或外供方财产</w:t>
            </w:r>
          </w:p>
        </w:tc>
        <w:tc>
          <w:tcPr>
            <w:tcW w:w="356"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 8.5.2</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8.5.3</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994"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勘测人员对每个项目每个勘测点的数据</w:t>
            </w:r>
            <w:r>
              <w:rPr>
                <w:rFonts w:hint="eastAsia" w:ascii="楷体" w:hAnsi="楷体" w:eastAsia="楷体" w:cs="宋体"/>
                <w:bCs w:val="0"/>
                <w:color w:val="000000"/>
                <w:spacing w:val="0"/>
                <w:kern w:val="2"/>
                <w:sz w:val="24"/>
                <w:szCs w:val="24"/>
                <w:lang w:val="en-GB" w:eastAsia="zh-CN" w:bidi="ar-SA"/>
              </w:rPr>
              <w:t>进行记录，保持</w:t>
            </w:r>
            <w:r>
              <w:rPr>
                <w:rFonts w:hint="eastAsia" w:ascii="楷体" w:hAnsi="楷体" w:eastAsia="楷体" w:cs="宋体"/>
                <w:bCs w:val="0"/>
                <w:color w:val="000000"/>
                <w:spacing w:val="0"/>
                <w:kern w:val="2"/>
                <w:sz w:val="24"/>
                <w:szCs w:val="24"/>
                <w:lang w:val="en-US" w:eastAsia="zh-CN" w:bidi="ar-SA"/>
              </w:rPr>
              <w:t>整个勘测过程</w:t>
            </w:r>
            <w:r>
              <w:rPr>
                <w:rFonts w:hint="eastAsia" w:ascii="楷体" w:hAnsi="楷体" w:eastAsia="楷体" w:cs="宋体"/>
                <w:bCs w:val="0"/>
                <w:color w:val="000000"/>
                <w:spacing w:val="0"/>
                <w:kern w:val="2"/>
                <w:sz w:val="24"/>
                <w:szCs w:val="24"/>
                <w:lang w:val="en-GB" w:eastAsia="zh-CN" w:bidi="ar-SA"/>
              </w:rPr>
              <w:t>中处于可识别状态，</w:t>
            </w:r>
            <w:r>
              <w:rPr>
                <w:rFonts w:hint="eastAsia" w:ascii="楷体" w:hAnsi="楷体" w:eastAsia="楷体" w:cs="宋体"/>
                <w:bCs w:val="0"/>
                <w:color w:val="000000"/>
                <w:spacing w:val="0"/>
                <w:kern w:val="2"/>
                <w:sz w:val="24"/>
                <w:szCs w:val="24"/>
                <w:lang w:val="en-US" w:eastAsia="zh-CN" w:bidi="ar-SA"/>
              </w:rPr>
              <w:t>不会产生混淆</w:t>
            </w:r>
            <w:r>
              <w:rPr>
                <w:rFonts w:hint="eastAsia" w:ascii="楷体" w:hAnsi="楷体" w:eastAsia="楷体" w:cs="宋体"/>
                <w:bCs w:val="0"/>
                <w:color w:val="000000"/>
                <w:spacing w:val="0"/>
                <w:kern w:val="2"/>
                <w:sz w:val="24"/>
                <w:szCs w:val="24"/>
                <w:lang w:val="en-GB" w:eastAsia="zh-CN" w:bidi="ar-SA"/>
              </w:rPr>
              <w:t>，严格按照中华人民共和国国家行业标准并参照相应检测技术规程，要求进行编制，</w:t>
            </w:r>
            <w:r>
              <w:rPr>
                <w:rFonts w:hint="eastAsia" w:ascii="楷体" w:hAnsi="楷体" w:eastAsia="楷体" w:cs="宋体"/>
                <w:bCs w:val="0"/>
                <w:color w:val="000000"/>
                <w:spacing w:val="0"/>
                <w:kern w:val="2"/>
                <w:sz w:val="24"/>
                <w:szCs w:val="24"/>
                <w:lang w:val="en-US" w:eastAsia="zh-CN" w:bidi="ar-SA"/>
              </w:rPr>
              <w:t>做好</w:t>
            </w:r>
            <w:r>
              <w:rPr>
                <w:rFonts w:hint="eastAsia" w:ascii="楷体" w:hAnsi="楷体" w:eastAsia="楷体" w:cs="宋体"/>
                <w:bCs w:val="0"/>
                <w:color w:val="000000"/>
                <w:spacing w:val="0"/>
                <w:kern w:val="2"/>
                <w:sz w:val="24"/>
                <w:szCs w:val="24"/>
                <w:lang w:val="en-GB" w:eastAsia="zh-CN" w:bidi="ar-SA"/>
              </w:rPr>
              <w:t>标识。</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在</w:t>
            </w:r>
            <w:r>
              <w:rPr>
                <w:rFonts w:hint="eastAsia" w:ascii="楷体" w:hAnsi="楷体" w:eastAsia="楷体" w:cs="宋体"/>
                <w:bCs w:val="0"/>
                <w:color w:val="000000"/>
                <w:spacing w:val="0"/>
                <w:kern w:val="2"/>
                <w:sz w:val="24"/>
                <w:szCs w:val="24"/>
                <w:lang w:val="en-US" w:eastAsia="zh-CN" w:bidi="ar-SA"/>
              </w:rPr>
              <w:t>该</w:t>
            </w:r>
            <w:r>
              <w:rPr>
                <w:rFonts w:hint="eastAsia" w:ascii="楷体" w:hAnsi="楷体" w:eastAsia="楷体" w:cs="宋体"/>
                <w:bCs w:val="0"/>
                <w:color w:val="000000"/>
                <w:spacing w:val="0"/>
                <w:kern w:val="2"/>
                <w:sz w:val="24"/>
                <w:szCs w:val="24"/>
                <w:lang w:val="en-GB" w:eastAsia="zh-CN" w:bidi="ar-SA"/>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监测评估部</w:t>
            </w:r>
            <w:r>
              <w:rPr>
                <w:rFonts w:hint="eastAsia" w:ascii="楷体" w:hAnsi="楷体" w:eastAsia="楷体" w:cs="宋体"/>
                <w:bCs w:val="0"/>
                <w:color w:val="000000"/>
                <w:spacing w:val="0"/>
                <w:kern w:val="2"/>
                <w:sz w:val="24"/>
                <w:szCs w:val="24"/>
                <w:lang w:val="en-GB" w:eastAsia="zh-CN" w:bidi="ar-SA"/>
              </w:rPr>
              <w:t>部负责接收和验证顾客提供的财产（</w:t>
            </w:r>
            <w:r>
              <w:rPr>
                <w:rFonts w:hint="eastAsia" w:ascii="楷体" w:hAnsi="楷体" w:eastAsia="楷体" w:cs="宋体"/>
                <w:bCs w:val="0"/>
                <w:color w:val="000000"/>
                <w:spacing w:val="0"/>
                <w:kern w:val="2"/>
                <w:sz w:val="24"/>
                <w:szCs w:val="24"/>
                <w:lang w:val="en-US" w:eastAsia="zh-CN" w:bidi="ar-SA"/>
              </w:rPr>
              <w:t>相关客户信息、项目资料）</w:t>
            </w:r>
            <w:r>
              <w:rPr>
                <w:rFonts w:hint="eastAsia" w:ascii="楷体" w:hAnsi="楷体" w:eastAsia="楷体" w:cs="宋体"/>
                <w:bCs w:val="0"/>
                <w:color w:val="000000"/>
                <w:spacing w:val="0"/>
                <w:kern w:val="2"/>
                <w:sz w:val="24"/>
                <w:szCs w:val="24"/>
                <w:lang w:val="en-GB" w:eastAsia="zh-CN" w:bidi="ar-SA"/>
              </w:rPr>
              <w:t>，并记录验证结果。</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监测评估部</w:t>
            </w:r>
            <w:r>
              <w:rPr>
                <w:rFonts w:hint="eastAsia" w:ascii="楷体" w:hAnsi="楷体" w:eastAsia="楷体" w:cs="宋体"/>
                <w:bCs w:val="0"/>
                <w:color w:val="000000"/>
                <w:spacing w:val="0"/>
                <w:kern w:val="2"/>
                <w:sz w:val="24"/>
                <w:szCs w:val="24"/>
                <w:lang w:val="en-GB" w:eastAsia="zh-CN" w:bidi="ar-SA"/>
              </w:rPr>
              <w:t>负责维护和使用顾客财产，若顾客财产发生丢失、损坏或发现不适用的情况时，应报告顾客，并保持记录。</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1"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防护</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Q8.5.4</w:t>
            </w:r>
          </w:p>
        </w:tc>
        <w:tc>
          <w:tcPr>
            <w:tcW w:w="3994" w:type="pct"/>
            <w:noWrap w:val="0"/>
            <w:vAlign w:val="top"/>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根据客户需求进行勘测工作，勘测使用的设备仪器放置在规定的区域，避免日晒、雨淋等，勘测数据及时保存电子版和纸质版，防止数据丢失。远程视频查看，仪器设备和数据的防护基本符合要求，数据及时上传备份，专区分类存放。</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交付后的活动</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Q8.5.5</w:t>
            </w:r>
          </w:p>
          <w:p>
            <w:pPr>
              <w:rPr>
                <w:rFonts w:hint="eastAsia" w:ascii="楷体" w:hAnsi="楷体" w:eastAsia="楷体" w:cs="宋体"/>
                <w:bCs w:val="0"/>
                <w:color w:val="000000"/>
                <w:spacing w:val="0"/>
                <w:kern w:val="2"/>
                <w:sz w:val="24"/>
                <w:szCs w:val="24"/>
                <w:lang w:val="en-US" w:eastAsia="zh-CN" w:bidi="ar-SA"/>
              </w:rPr>
            </w:pPr>
          </w:p>
        </w:tc>
        <w:tc>
          <w:tcPr>
            <w:tcW w:w="3994" w:type="pct"/>
            <w:noWrap w:val="0"/>
            <w:vAlign w:val="center"/>
          </w:tcPr>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GB" w:eastAsia="zh-CN" w:bidi="ar-SA"/>
              </w:rPr>
              <w:t>该公司交付</w:t>
            </w:r>
            <w:r>
              <w:rPr>
                <w:rFonts w:hint="eastAsia" w:ascii="楷体" w:hAnsi="楷体" w:eastAsia="楷体" w:cs="宋体"/>
                <w:bCs w:val="0"/>
                <w:color w:val="000000"/>
                <w:spacing w:val="0"/>
                <w:kern w:val="2"/>
                <w:sz w:val="24"/>
                <w:szCs w:val="24"/>
                <w:lang w:val="en-US" w:eastAsia="zh-CN" w:bidi="ar-SA"/>
              </w:rPr>
              <w:t>的测试数据经过专家审议后，确保数据合理准确，交给客户</w:t>
            </w:r>
            <w:r>
              <w:rPr>
                <w:rFonts w:hint="eastAsia" w:ascii="楷体" w:hAnsi="楷体" w:eastAsia="楷体" w:cs="宋体"/>
                <w:bCs w:val="0"/>
                <w:color w:val="000000"/>
                <w:spacing w:val="0"/>
                <w:kern w:val="2"/>
                <w:sz w:val="24"/>
                <w:szCs w:val="24"/>
                <w:lang w:val="en-GB" w:eastAsia="zh-CN" w:bidi="ar-SA"/>
              </w:rPr>
              <w:t>，</w:t>
            </w:r>
            <w:r>
              <w:rPr>
                <w:rFonts w:hint="eastAsia" w:ascii="楷体" w:hAnsi="楷体" w:eastAsia="楷体" w:cs="宋体"/>
                <w:bCs w:val="0"/>
                <w:color w:val="000000"/>
                <w:spacing w:val="0"/>
                <w:kern w:val="2"/>
                <w:sz w:val="24"/>
                <w:szCs w:val="24"/>
                <w:lang w:val="en-US" w:eastAsia="zh-CN" w:bidi="ar-SA"/>
              </w:rPr>
              <w:t>无售后服务。</w:t>
            </w:r>
            <w:r>
              <w:rPr>
                <w:rFonts w:hint="eastAsia" w:ascii="楷体" w:hAnsi="楷体" w:eastAsia="楷体" w:cs="宋体"/>
                <w:bCs w:val="0"/>
                <w:color w:val="000000"/>
                <w:spacing w:val="0"/>
                <w:kern w:val="2"/>
                <w:sz w:val="24"/>
                <w:szCs w:val="24"/>
                <w:lang w:val="en-GB" w:eastAsia="zh-CN" w:bidi="ar-SA"/>
              </w:rPr>
              <w:t>同时跟踪项目进度、顾客回访、顾客反馈、顾客满意度调查等形式进行。与该部门负责人交流，该公司根据顾客交付后一周内进行电话进行顾客回访，无不满意情况发生，体系运行至今无顾客不良反馈。</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更改的控制</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Q8.5.6</w:t>
            </w:r>
          </w:p>
          <w:p>
            <w:pPr>
              <w:rPr>
                <w:rFonts w:hint="eastAsia" w:ascii="楷体" w:hAnsi="楷体" w:eastAsia="楷体" w:cs="宋体"/>
                <w:bCs w:val="0"/>
                <w:color w:val="000000"/>
                <w:spacing w:val="0"/>
                <w:kern w:val="2"/>
                <w:sz w:val="24"/>
                <w:szCs w:val="24"/>
                <w:lang w:val="en-US" w:eastAsia="zh-CN" w:bidi="ar-SA"/>
              </w:rPr>
            </w:pPr>
          </w:p>
        </w:tc>
        <w:tc>
          <w:tcPr>
            <w:tcW w:w="3994"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组织应对销售合同的更改进行评审，以确保稳定的符合要求。</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组织应保留形成文件的信息，包括有关更改评审结果、授权进行更改的人员以及根据评审所采取的必要措施。</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经询问，体系运行至今无更改情况发生。</w:t>
            </w:r>
          </w:p>
          <w:p>
            <w:pPr>
              <w:rPr>
                <w:rFonts w:hint="eastAsia" w:ascii="楷体" w:hAnsi="楷体" w:eastAsia="楷体" w:cs="宋体"/>
                <w:bCs w:val="0"/>
                <w:color w:val="000000"/>
                <w:spacing w:val="0"/>
                <w:kern w:val="2"/>
                <w:sz w:val="24"/>
                <w:szCs w:val="24"/>
                <w:lang w:val="en-US" w:eastAsia="zh-CN" w:bidi="ar-SA"/>
              </w:rPr>
            </w:pP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产品和服务的放行</w:t>
            </w:r>
          </w:p>
        </w:tc>
        <w:tc>
          <w:tcPr>
            <w:tcW w:w="356"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8.6</w:t>
            </w:r>
          </w:p>
        </w:tc>
        <w:tc>
          <w:tcPr>
            <w:tcW w:w="3994" w:type="pct"/>
            <w:noWrap w:val="0"/>
            <w:vAlign w:val="top"/>
          </w:tcPr>
          <w:p>
            <w:pPr>
              <w:pStyle w:val="23"/>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该公司产品的监视和测量包括：</w:t>
            </w:r>
            <w:r>
              <w:rPr>
                <w:rFonts w:hint="eastAsia" w:ascii="楷体" w:hAnsi="楷体" w:eastAsia="楷体" w:cs="楷体"/>
                <w:sz w:val="21"/>
                <w:szCs w:val="21"/>
                <w:lang w:val="en-US" w:eastAsia="zh-CN"/>
              </w:rPr>
              <w:t>公司原材料采购及到办公用品和检测设备的零部件；地震安全性评价服务涉及到相关过程监测记录和数据分析记录均在服务完成后出具的报告中体现。</w:t>
            </w:r>
          </w:p>
          <w:p>
            <w:pPr>
              <w:tabs>
                <w:tab w:val="left" w:pos="7380"/>
              </w:tabs>
              <w:spacing w:line="276" w:lineRule="auto"/>
              <w:rPr>
                <w:rFonts w:hint="eastAsia" w:ascii="楷体" w:hAnsi="楷体" w:eastAsia="楷体" w:cs="楷体"/>
                <w:bCs/>
                <w:sz w:val="21"/>
                <w:szCs w:val="21"/>
              </w:rPr>
            </w:pPr>
            <w:r>
              <w:rPr>
                <w:rFonts w:hint="eastAsia" w:ascii="楷体" w:hAnsi="楷体" w:eastAsia="楷体" w:cs="楷体"/>
                <w:bCs/>
                <w:sz w:val="21"/>
                <w:szCs w:val="21"/>
              </w:rPr>
              <w:sym w:font="Wingdings 2" w:char="F098"/>
            </w:r>
            <w:r>
              <w:rPr>
                <w:rFonts w:hint="eastAsia" w:ascii="楷体" w:hAnsi="楷体" w:eastAsia="楷体" w:cs="楷体"/>
                <w:bCs/>
                <w:sz w:val="21"/>
                <w:szCs w:val="21"/>
              </w:rPr>
              <w:t>查：原材料检验记录</w:t>
            </w:r>
          </w:p>
          <w:p>
            <w:pPr>
              <w:spacing w:line="276" w:lineRule="auto"/>
              <w:rPr>
                <w:rFonts w:hint="eastAsia" w:ascii="楷体" w:hAnsi="楷体" w:eastAsia="楷体" w:cs="楷体"/>
                <w:sz w:val="21"/>
                <w:szCs w:val="21"/>
              </w:rPr>
            </w:pPr>
            <w:r>
              <w:rPr>
                <w:rFonts w:hint="eastAsia" w:ascii="楷体" w:hAnsi="楷体" w:eastAsia="楷体" w:cs="楷体"/>
                <w:sz w:val="21"/>
                <w:szCs w:val="21"/>
              </w:rPr>
              <w:t>一采购物资：</w:t>
            </w:r>
            <w:r>
              <w:rPr>
                <w:rFonts w:hint="eastAsia" w:ascii="楷体" w:hAnsi="楷体" w:eastAsia="楷体" w:cs="楷体"/>
                <w:sz w:val="21"/>
                <w:szCs w:val="21"/>
                <w:lang w:val="en-US" w:eastAsia="zh-CN"/>
              </w:rPr>
              <w:t>电池</w:t>
            </w:r>
            <w:r>
              <w:rPr>
                <w:rFonts w:hint="eastAsia" w:ascii="楷体" w:hAnsi="楷体" w:eastAsia="楷体" w:cs="楷体"/>
                <w:sz w:val="21"/>
                <w:szCs w:val="21"/>
              </w:rPr>
              <w:t>，</w:t>
            </w:r>
          </w:p>
          <w:p>
            <w:pPr>
              <w:spacing w:line="276" w:lineRule="auto"/>
              <w:rPr>
                <w:rFonts w:hint="eastAsia" w:ascii="楷体" w:hAnsi="楷体" w:eastAsia="楷体" w:cs="楷体"/>
                <w:sz w:val="21"/>
                <w:szCs w:val="21"/>
              </w:rPr>
            </w:pPr>
            <w:r>
              <w:rPr>
                <w:rFonts w:hint="eastAsia" w:ascii="楷体" w:hAnsi="楷体" w:eastAsia="楷体" w:cs="楷体"/>
                <w:sz w:val="21"/>
                <w:szCs w:val="21"/>
              </w:rPr>
              <w:t>供应商：</w:t>
            </w:r>
            <w:r>
              <w:rPr>
                <w:rFonts w:hint="eastAsia" w:ascii="楷体" w:hAnsi="楷体" w:eastAsia="楷体" w:cs="楷体"/>
                <w:sz w:val="21"/>
                <w:szCs w:val="21"/>
                <w:lang w:val="en-US" w:eastAsia="zh-CN"/>
              </w:rPr>
              <w:t>杭州明电电子有限公司</w:t>
            </w:r>
            <w:r>
              <w:rPr>
                <w:rFonts w:hint="eastAsia" w:ascii="楷体" w:hAnsi="楷体" w:eastAsia="楷体" w:cs="楷体"/>
                <w:sz w:val="21"/>
                <w:szCs w:val="21"/>
              </w:rPr>
              <w:t xml:space="preserve"> </w:t>
            </w:r>
          </w:p>
          <w:p>
            <w:pPr>
              <w:spacing w:line="276" w:lineRule="auto"/>
              <w:rPr>
                <w:rFonts w:hint="eastAsia" w:ascii="楷体" w:hAnsi="楷体" w:eastAsia="楷体" w:cs="楷体"/>
                <w:sz w:val="21"/>
                <w:szCs w:val="21"/>
              </w:rPr>
            </w:pPr>
            <w:r>
              <w:rPr>
                <w:rFonts w:hint="eastAsia" w:ascii="楷体" w:hAnsi="楷体" w:eastAsia="楷体" w:cs="楷体"/>
                <w:sz w:val="21"/>
                <w:szCs w:val="21"/>
              </w:rPr>
              <w:t>规格：</w:t>
            </w:r>
            <w:r>
              <w:rPr>
                <w:rFonts w:hint="eastAsia" w:ascii="楷体" w:hAnsi="楷体" w:eastAsia="楷体" w:cs="楷体"/>
                <w:sz w:val="21"/>
                <w:szCs w:val="21"/>
                <w:lang w:val="en-US" w:eastAsia="zh-CN"/>
              </w:rPr>
              <w:t>C12-100（12V-100AH）</w:t>
            </w:r>
            <w:r>
              <w:rPr>
                <w:rFonts w:hint="eastAsia" w:ascii="楷体" w:hAnsi="楷体" w:eastAsia="楷体" w:cs="楷体"/>
                <w:sz w:val="21"/>
                <w:szCs w:val="21"/>
              </w:rPr>
              <w:t>，数量：</w:t>
            </w:r>
            <w:r>
              <w:rPr>
                <w:rFonts w:hint="eastAsia" w:ascii="楷体" w:hAnsi="楷体" w:eastAsia="楷体" w:cs="楷体"/>
                <w:sz w:val="21"/>
                <w:szCs w:val="21"/>
                <w:lang w:val="en-US" w:eastAsia="zh-CN"/>
              </w:rPr>
              <w:t>8</w:t>
            </w:r>
            <w:r>
              <w:rPr>
                <w:rFonts w:hint="eastAsia" w:ascii="楷体" w:hAnsi="楷体" w:eastAsia="楷体" w:cs="楷体"/>
                <w:sz w:val="21"/>
                <w:szCs w:val="21"/>
              </w:rPr>
              <w:t>件，抽样8件</w:t>
            </w:r>
          </w:p>
          <w:p>
            <w:pPr>
              <w:spacing w:line="276" w:lineRule="auto"/>
              <w:rPr>
                <w:rFonts w:hint="eastAsia" w:ascii="楷体" w:hAnsi="楷体" w:eastAsia="楷体" w:cs="楷体"/>
                <w:sz w:val="21"/>
                <w:szCs w:val="21"/>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外观、数量、试用</w:t>
            </w:r>
            <w:r>
              <w:rPr>
                <w:rFonts w:hint="eastAsia" w:ascii="楷体" w:hAnsi="楷体" w:eastAsia="楷体" w:cs="楷体"/>
                <w:sz w:val="21"/>
                <w:szCs w:val="21"/>
              </w:rPr>
              <w:t>等，</w:t>
            </w:r>
          </w:p>
          <w:p>
            <w:pPr>
              <w:spacing w:line="276" w:lineRule="auto"/>
              <w:rPr>
                <w:rFonts w:hint="eastAsia" w:ascii="楷体" w:hAnsi="楷体" w:eastAsia="楷体" w:cs="楷体"/>
                <w:sz w:val="21"/>
                <w:szCs w:val="21"/>
              </w:rPr>
            </w:pPr>
            <w:r>
              <w:rPr>
                <w:rFonts w:hint="eastAsia" w:ascii="楷体" w:hAnsi="楷体" w:eastAsia="楷体" w:cs="楷体"/>
                <w:sz w:val="21"/>
                <w:szCs w:val="21"/>
              </w:rPr>
              <w:t xml:space="preserve">检验结果：合格   </w:t>
            </w:r>
          </w:p>
          <w:p>
            <w:pPr>
              <w:pStyle w:val="23"/>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w:t>
            </w:r>
            <w:r>
              <w:rPr>
                <w:rFonts w:hint="eastAsia" w:ascii="楷体" w:hAnsi="楷体" w:eastAsia="楷体" w:cs="楷体"/>
                <w:sz w:val="21"/>
                <w:szCs w:val="21"/>
                <w:lang w:val="en-US" w:eastAsia="zh-CN"/>
              </w:rPr>
              <w:t>服务过程监测数据与</w:t>
            </w:r>
            <w:r>
              <w:rPr>
                <w:rFonts w:hint="eastAsia" w:ascii="楷体" w:hAnsi="楷体" w:eastAsia="楷体" w:cs="楷体"/>
                <w:sz w:val="21"/>
                <w:szCs w:val="21"/>
              </w:rPr>
              <w:t>成品检验记录</w:t>
            </w:r>
          </w:p>
          <w:p>
            <w:pPr>
              <w:pStyle w:val="23"/>
              <w:spacing w:line="276" w:lineRule="auto"/>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一</w:t>
            </w:r>
            <w:r>
              <w:rPr>
                <w:rFonts w:hint="eastAsia" w:ascii="楷体" w:hAnsi="楷体" w:eastAsia="楷体" w:cs="楷体"/>
                <w:bCs/>
                <w:color w:val="auto"/>
                <w:sz w:val="21"/>
                <w:szCs w:val="21"/>
                <w:lang w:val="en-US" w:eastAsia="zh-CN"/>
              </w:rPr>
              <w:t>抽查《国家安吉竹产业示范园区 区域地震安全性评价报告）。时间：2020 年 12 月，报告机构：浙江省地震灾害防御中心（浙江省工程地震研究所）</w:t>
            </w:r>
          </w:p>
          <w:p>
            <w:pPr>
              <w:spacing w:before="104" w:line="184" w:lineRule="auto"/>
              <w:ind w:firstLine="44"/>
              <w:rPr>
                <w:rFonts w:ascii="黑体" w:hAnsi="黑体" w:eastAsia="黑体" w:cs="黑体"/>
                <w:sz w:val="32"/>
                <w:szCs w:val="32"/>
              </w:rPr>
            </w:pPr>
            <w:r>
              <w:rPr>
                <w:rFonts w:ascii="黑体" w:hAnsi="黑体" w:eastAsia="黑体" w:cs="黑体"/>
                <w:spacing w:val="-3"/>
                <w:sz w:val="32"/>
                <w:szCs w:val="32"/>
              </w:rPr>
              <w:t>地震安全性评价结果</w:t>
            </w:r>
          </w:p>
          <w:p>
            <w:pPr>
              <w:spacing w:before="290" w:line="346" w:lineRule="auto"/>
              <w:ind w:left="37" w:right="66" w:firstLine="487"/>
              <w:rPr>
                <w:rFonts w:hint="eastAsia" w:ascii="楷体" w:hAnsi="楷体" w:eastAsia="楷体" w:cs="楷体"/>
                <w:color w:val="000000"/>
                <w:kern w:val="0"/>
                <w:sz w:val="21"/>
                <w:szCs w:val="21"/>
                <w:lang w:val="en-US" w:eastAsia="zh-CN" w:bidi="ar-SA"/>
              </w:rPr>
            </w:pPr>
            <w:r>
              <w:rPr>
                <w:rFonts w:ascii="宋体" w:hAnsi="宋体" w:eastAsia="宋体" w:cs="宋体"/>
                <w:spacing w:val="-8"/>
                <w:w w:val="98"/>
                <w:sz w:val="24"/>
                <w:szCs w:val="24"/>
              </w:rPr>
              <w:t>（</w:t>
            </w:r>
            <w:r>
              <w:rPr>
                <w:rFonts w:hint="eastAsia" w:ascii="楷体" w:hAnsi="楷体" w:eastAsia="楷体" w:cs="楷体"/>
                <w:color w:val="000000"/>
                <w:kern w:val="0"/>
                <w:sz w:val="21"/>
                <w:szCs w:val="21"/>
                <w:lang w:val="en-US" w:eastAsia="zh-CN" w:bidi="ar-SA"/>
              </w:rPr>
              <w:t>1）区域主要位于长江下游-南黄海地震带， 还有部分位于华南沿海地震带， 区域 内的地震主要分布在北半部。区域历史上发生过M≥4.7 级地震 22 次， 最大地震为 1979 年 6 月 9 日江苏溧阳 6.0 级地震。区域大部分地区位于扬子准地台，东南地区位于华南 褶皱系， 均属于大地构造较为稳定的地貌单元。区域新构造分区大致以溧阳—湖州—余</w:t>
            </w:r>
          </w:p>
          <w:p>
            <w:pPr>
              <w:spacing w:before="5" w:line="199" w:lineRule="auto"/>
              <w:ind w:firstLine="3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杭—镇海一线为界分为两个区， 以北地区构造活动相对较强， 以第四系覆盖的平原区为主； 以南为浙-皖中低山丘陵区构造活动相对较弱。区域在上新世构造运动较强烈， 以全区性的差异升降运动为主。第四纪时期， 平原海蚀作用十分强烈， 阶段性隆升形成多级阶地。晚第四纪以来， 新构造运动渐趋缓和， 断裂活动较弱， 对沉积和地貌控制作用不明显，地震活动水低、强度小。区域断裂以 NE 向断裂为主，其次为 NW 和近 EW向断裂， 其活动方式、活动性有明显差异。区域内活动断裂主要有茅山断裂， 其余断裂最新活动时间均为晚更新世以前。区域内地震多发生于多组构造交汇处、 地形地貌陡变带附近。 综合分析， 区域存在发生 6 级左右地震的地震活动背景和地震构造背景。（2）近场区自有文字记载以来至 1969 年共发生M≥31/2 地震 2 次， 均为 31/2 级的有感地震。1970 年 1 月 1  日至 2020 年 10 月 31  日期间， 近场内发生过 M≥1.0 级地震 8次，最大震级为 3.9 。场区地形地势整体向北东掀斜，新构造运动整体上较弱，以缓慢的升降运动为主要特征。近场区断裂发育有北东向的苏州—安吉断裂、湖州— 临安断裂，北西向的孝丰—三门湾断裂， 这些断裂最新活动时间均为晚更新世之前。 结合近场区地震活动及地震构造评价结果， 综合分析认为近场区地震活动水平较弱， 地震构造相对稳定（3） 目标区位于同一地震动参数分区，不同场地类别地震动峰值加速度  和地震 动反应谱特征周期按照表 5.1- 1 和表 5.1-2 选用，场地设计地震动加速度反应谱动力放大 系数取 2.5。</w:t>
            </w:r>
          </w:p>
          <w:p>
            <w:pPr>
              <w:spacing w:before="116" w:line="200" w:lineRule="auto"/>
              <w:ind w:firstLine="2366"/>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表 5.1- 1  不同场地类别地震动峰值加速度（gal）</w:t>
            </w:r>
          </w:p>
          <w:p>
            <w:pPr>
              <w:spacing w:line="14" w:lineRule="exact"/>
              <w:rPr>
                <w:rFonts w:hint="eastAsia" w:ascii="楷体" w:hAnsi="楷体" w:eastAsia="楷体" w:cs="楷体"/>
                <w:color w:val="000000"/>
                <w:kern w:val="0"/>
                <w:sz w:val="21"/>
                <w:szCs w:val="21"/>
                <w:lang w:val="en-US" w:eastAsia="zh-CN" w:bidi="ar-SA"/>
              </w:rPr>
            </w:pPr>
          </w:p>
          <w:tbl>
            <w:tblPr>
              <w:tblStyle w:val="25"/>
              <w:tblW w:w="8053"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0"/>
              <w:gridCol w:w="921"/>
              <w:gridCol w:w="919"/>
              <w:gridCol w:w="921"/>
              <w:gridCol w:w="921"/>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550" w:type="dxa"/>
                  <w:vMerge w:val="restart"/>
                  <w:tcBorders>
                    <w:bottom w:val="nil"/>
                  </w:tcBorders>
                  <w:vAlign w:val="top"/>
                </w:tcPr>
                <w:p>
                  <w:pPr>
                    <w:spacing w:before="233" w:line="186" w:lineRule="auto"/>
                    <w:ind w:firstLine="876"/>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目标区超越概率水准</w:t>
                  </w:r>
                </w:p>
              </w:tc>
              <w:tc>
                <w:tcPr>
                  <w:tcW w:w="4503" w:type="dxa"/>
                  <w:gridSpan w:val="5"/>
                  <w:vAlign w:val="top"/>
                </w:tcPr>
                <w:p>
                  <w:pPr>
                    <w:spacing w:before="41" w:line="186" w:lineRule="auto"/>
                    <w:ind w:firstLine="183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场地类别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550" w:type="dxa"/>
                  <w:vMerge w:val="continue"/>
                  <w:tcBorders>
                    <w:top w:val="nil"/>
                  </w:tcBorders>
                  <w:vAlign w:val="top"/>
                </w:tcPr>
                <w:p>
                  <w:pPr>
                    <w:rPr>
                      <w:rFonts w:hint="eastAsia" w:ascii="楷体" w:hAnsi="楷体" w:eastAsia="楷体" w:cs="楷体"/>
                      <w:color w:val="000000"/>
                      <w:kern w:val="0"/>
                      <w:sz w:val="21"/>
                      <w:szCs w:val="21"/>
                      <w:lang w:val="en-US" w:eastAsia="zh-CN" w:bidi="ar-SA"/>
                    </w:rPr>
                  </w:pPr>
                </w:p>
              </w:tc>
              <w:tc>
                <w:tcPr>
                  <w:tcW w:w="921" w:type="dxa"/>
                  <w:shd w:val="clear" w:color="auto" w:fill="FFFFFF"/>
                  <w:vAlign w:val="top"/>
                </w:tcPr>
                <w:p>
                  <w:pPr>
                    <w:spacing w:before="115" w:line="180" w:lineRule="auto"/>
                    <w:ind w:firstLine="39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Ⅰ0</w:t>
                  </w:r>
                </w:p>
              </w:tc>
              <w:tc>
                <w:tcPr>
                  <w:tcW w:w="919" w:type="dxa"/>
                  <w:shd w:val="clear" w:color="auto" w:fill="FFFFFF"/>
                  <w:vAlign w:val="top"/>
                </w:tcPr>
                <w:p>
                  <w:pPr>
                    <w:spacing w:before="115" w:line="180" w:lineRule="auto"/>
                    <w:ind w:firstLine="39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Ⅰ1</w:t>
                  </w:r>
                </w:p>
              </w:tc>
              <w:tc>
                <w:tcPr>
                  <w:tcW w:w="921" w:type="dxa"/>
                  <w:shd w:val="clear" w:color="auto" w:fill="FFFFFF"/>
                  <w:vAlign w:val="top"/>
                </w:tcPr>
                <w:p>
                  <w:pPr>
                    <w:spacing w:before="115" w:line="180" w:lineRule="auto"/>
                    <w:ind w:firstLine="395"/>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Ⅱ</w:t>
                  </w:r>
                </w:p>
              </w:tc>
              <w:tc>
                <w:tcPr>
                  <w:tcW w:w="921" w:type="dxa"/>
                  <w:shd w:val="clear" w:color="auto" w:fill="FFFFFF"/>
                  <w:vAlign w:val="top"/>
                </w:tcPr>
                <w:p>
                  <w:pPr>
                    <w:spacing w:before="115" w:line="180" w:lineRule="auto"/>
                    <w:ind w:firstLine="365"/>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Ⅲ</w:t>
                  </w:r>
                </w:p>
              </w:tc>
              <w:tc>
                <w:tcPr>
                  <w:tcW w:w="821" w:type="dxa"/>
                  <w:shd w:val="clear" w:color="auto" w:fill="FFFFFF"/>
                  <w:vAlign w:val="top"/>
                </w:tcPr>
                <w:p>
                  <w:pPr>
                    <w:spacing w:before="115" w:line="180" w:lineRule="auto"/>
                    <w:ind w:firstLine="303"/>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50" w:type="dxa"/>
                  <w:shd w:val="clear" w:color="auto" w:fill="FFFFFF"/>
                  <w:vAlign w:val="top"/>
                </w:tcPr>
                <w:p>
                  <w:pPr>
                    <w:spacing w:before="52" w:line="186" w:lineRule="auto"/>
                    <w:ind w:firstLine="90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50 年超越概率 63%</w:t>
                  </w:r>
                </w:p>
              </w:tc>
              <w:tc>
                <w:tcPr>
                  <w:tcW w:w="921" w:type="dxa"/>
                  <w:shd w:val="clear" w:color="auto" w:fill="FFFFFF"/>
                  <w:vAlign w:val="top"/>
                </w:tcPr>
                <w:p>
                  <w:pPr>
                    <w:spacing w:before="87" w:line="180" w:lineRule="auto"/>
                    <w:ind w:firstLine="37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13</w:t>
                  </w:r>
                </w:p>
              </w:tc>
              <w:tc>
                <w:tcPr>
                  <w:tcW w:w="919" w:type="dxa"/>
                  <w:shd w:val="clear" w:color="auto" w:fill="FFFFFF"/>
                  <w:vAlign w:val="top"/>
                </w:tcPr>
                <w:p>
                  <w:pPr>
                    <w:spacing w:before="86" w:line="180" w:lineRule="auto"/>
                    <w:ind w:firstLine="376"/>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14</w:t>
                  </w:r>
                </w:p>
              </w:tc>
              <w:tc>
                <w:tcPr>
                  <w:tcW w:w="921" w:type="dxa"/>
                  <w:shd w:val="clear" w:color="auto" w:fill="FFFFFF"/>
                  <w:vAlign w:val="top"/>
                </w:tcPr>
                <w:p>
                  <w:pPr>
                    <w:spacing w:before="87" w:line="180" w:lineRule="auto"/>
                    <w:ind w:firstLine="378"/>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18</w:t>
                  </w:r>
                </w:p>
              </w:tc>
              <w:tc>
                <w:tcPr>
                  <w:tcW w:w="921" w:type="dxa"/>
                  <w:shd w:val="clear" w:color="auto" w:fill="FFFFFF"/>
                  <w:vAlign w:val="top"/>
                </w:tcPr>
                <w:p>
                  <w:pPr>
                    <w:spacing w:before="87" w:line="180" w:lineRule="auto"/>
                    <w:ind w:firstLine="35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23</w:t>
                  </w:r>
                </w:p>
              </w:tc>
              <w:tc>
                <w:tcPr>
                  <w:tcW w:w="821" w:type="dxa"/>
                  <w:shd w:val="clear" w:color="auto" w:fill="FFFFFF"/>
                  <w:vAlign w:val="top"/>
                </w:tcPr>
                <w:p>
                  <w:pPr>
                    <w:spacing w:before="86" w:line="180" w:lineRule="auto"/>
                    <w:ind w:firstLine="30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550" w:type="dxa"/>
                  <w:vAlign w:val="top"/>
                </w:tcPr>
                <w:p>
                  <w:pPr>
                    <w:spacing w:before="54" w:line="186" w:lineRule="auto"/>
                    <w:ind w:firstLine="90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50 年超越概率 10%</w:t>
                  </w:r>
                </w:p>
              </w:tc>
              <w:tc>
                <w:tcPr>
                  <w:tcW w:w="921" w:type="dxa"/>
                  <w:shd w:val="clear" w:color="auto" w:fill="FFFFFF"/>
                  <w:vAlign w:val="top"/>
                </w:tcPr>
                <w:p>
                  <w:pPr>
                    <w:spacing w:before="86" w:line="180" w:lineRule="auto"/>
                    <w:ind w:firstLine="36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38</w:t>
                  </w:r>
                </w:p>
              </w:tc>
              <w:tc>
                <w:tcPr>
                  <w:tcW w:w="919" w:type="dxa"/>
                  <w:shd w:val="clear" w:color="auto" w:fill="FFFFFF"/>
                  <w:vAlign w:val="top"/>
                </w:tcPr>
                <w:p>
                  <w:pPr>
                    <w:spacing w:before="85" w:line="180" w:lineRule="auto"/>
                    <w:ind w:firstLine="35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42</w:t>
                  </w:r>
                </w:p>
              </w:tc>
              <w:tc>
                <w:tcPr>
                  <w:tcW w:w="921" w:type="dxa"/>
                  <w:shd w:val="clear" w:color="auto" w:fill="FFFFFF"/>
                  <w:vAlign w:val="top"/>
                </w:tcPr>
                <w:p>
                  <w:pPr>
                    <w:spacing w:before="86" w:line="180" w:lineRule="auto"/>
                    <w:ind w:firstLine="36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52</w:t>
                  </w:r>
                </w:p>
              </w:tc>
              <w:tc>
                <w:tcPr>
                  <w:tcW w:w="921" w:type="dxa"/>
                  <w:shd w:val="clear" w:color="auto" w:fill="FFFFFF"/>
                  <w:vAlign w:val="top"/>
                </w:tcPr>
                <w:p>
                  <w:pPr>
                    <w:spacing w:before="86" w:line="180" w:lineRule="auto"/>
                    <w:ind w:firstLine="36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68</w:t>
                  </w:r>
                </w:p>
              </w:tc>
              <w:tc>
                <w:tcPr>
                  <w:tcW w:w="821" w:type="dxa"/>
                  <w:shd w:val="clear" w:color="auto" w:fill="FFFFFF"/>
                  <w:vAlign w:val="top"/>
                </w:tcPr>
                <w:p>
                  <w:pPr>
                    <w:spacing w:before="86" w:line="180" w:lineRule="auto"/>
                    <w:ind w:firstLine="31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550" w:type="dxa"/>
                  <w:shd w:val="clear" w:color="auto" w:fill="FFFFFF"/>
                  <w:vAlign w:val="top"/>
                </w:tcPr>
                <w:p>
                  <w:pPr>
                    <w:spacing w:before="55" w:line="186" w:lineRule="auto"/>
                    <w:ind w:firstLine="960"/>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50 年超越概率 2%</w:t>
                  </w:r>
                </w:p>
              </w:tc>
              <w:tc>
                <w:tcPr>
                  <w:tcW w:w="921" w:type="dxa"/>
                  <w:shd w:val="clear" w:color="auto" w:fill="FFFFFF"/>
                  <w:vAlign w:val="top"/>
                </w:tcPr>
                <w:p>
                  <w:pPr>
                    <w:spacing w:before="89" w:line="180" w:lineRule="auto"/>
                    <w:ind w:firstLine="366"/>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87</w:t>
                  </w:r>
                </w:p>
              </w:tc>
              <w:tc>
                <w:tcPr>
                  <w:tcW w:w="919" w:type="dxa"/>
                  <w:shd w:val="clear" w:color="auto" w:fill="FFFFFF"/>
                  <w:vAlign w:val="top"/>
                </w:tcPr>
                <w:p>
                  <w:pPr>
                    <w:spacing w:before="89" w:line="180" w:lineRule="auto"/>
                    <w:ind w:firstLine="35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97</w:t>
                  </w:r>
                </w:p>
              </w:tc>
              <w:tc>
                <w:tcPr>
                  <w:tcW w:w="921" w:type="dxa"/>
                  <w:shd w:val="clear" w:color="auto" w:fill="FFFFFF"/>
                  <w:vAlign w:val="top"/>
                </w:tcPr>
                <w:p>
                  <w:pPr>
                    <w:spacing w:before="89" w:line="180" w:lineRule="auto"/>
                    <w:ind w:firstLine="328"/>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118</w:t>
                  </w:r>
                </w:p>
              </w:tc>
              <w:tc>
                <w:tcPr>
                  <w:tcW w:w="921" w:type="dxa"/>
                  <w:shd w:val="clear" w:color="auto" w:fill="FFFFFF"/>
                  <w:vAlign w:val="top"/>
                </w:tcPr>
                <w:p>
                  <w:pPr>
                    <w:spacing w:before="89" w:line="180" w:lineRule="auto"/>
                    <w:ind w:firstLine="327"/>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143</w:t>
                  </w:r>
                </w:p>
              </w:tc>
              <w:tc>
                <w:tcPr>
                  <w:tcW w:w="821" w:type="dxa"/>
                  <w:shd w:val="clear" w:color="auto" w:fill="FFFFFF"/>
                  <w:vAlign w:val="top"/>
                </w:tcPr>
                <w:p>
                  <w:pPr>
                    <w:spacing w:before="89" w:line="180" w:lineRule="auto"/>
                    <w:ind w:firstLine="27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137</w:t>
                  </w:r>
                </w:p>
              </w:tc>
            </w:tr>
          </w:tbl>
          <w:p>
            <w:pPr>
              <w:spacing w:before="150" w:line="203" w:lineRule="auto"/>
              <w:ind w:firstLine="2116"/>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表 5.1-2  不同场地类别加速度反应谱特征周期 Tg（s）</w:t>
            </w:r>
          </w:p>
          <w:p>
            <w:pPr>
              <w:rPr>
                <w:rFonts w:hint="eastAsia" w:ascii="楷体" w:hAnsi="楷体" w:eastAsia="楷体" w:cs="楷体"/>
                <w:color w:val="000000"/>
                <w:kern w:val="0"/>
                <w:sz w:val="21"/>
                <w:szCs w:val="21"/>
                <w:lang w:val="en-US" w:eastAsia="zh-CN" w:bidi="ar-SA"/>
              </w:rPr>
            </w:pPr>
          </w:p>
          <w:p>
            <w:pPr>
              <w:spacing w:line="39" w:lineRule="exact"/>
              <w:rPr>
                <w:rFonts w:hint="eastAsia" w:ascii="楷体" w:hAnsi="楷体" w:eastAsia="楷体" w:cs="楷体"/>
                <w:color w:val="000000"/>
                <w:kern w:val="0"/>
                <w:sz w:val="21"/>
                <w:szCs w:val="21"/>
                <w:lang w:val="en-US" w:eastAsia="zh-CN" w:bidi="ar-SA"/>
              </w:rPr>
            </w:pPr>
          </w:p>
          <w:tbl>
            <w:tblPr>
              <w:tblStyle w:val="25"/>
              <w:tblW w:w="8053"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0"/>
              <w:gridCol w:w="921"/>
              <w:gridCol w:w="919"/>
              <w:gridCol w:w="921"/>
              <w:gridCol w:w="921"/>
              <w:gridCol w:w="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3550" w:type="dxa"/>
                  <w:vMerge w:val="restart"/>
                  <w:tcBorders>
                    <w:bottom w:val="nil"/>
                  </w:tcBorders>
                  <w:vAlign w:val="top"/>
                </w:tcPr>
                <w:p>
                  <w:pPr>
                    <w:spacing w:before="233" w:line="203" w:lineRule="auto"/>
                    <w:ind w:firstLine="75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目标区加速度反应谱 Tg</w:t>
                  </w:r>
                </w:p>
              </w:tc>
              <w:tc>
                <w:tcPr>
                  <w:tcW w:w="4503" w:type="dxa"/>
                  <w:gridSpan w:val="5"/>
                  <w:vAlign w:val="top"/>
                </w:tcPr>
                <w:p>
                  <w:pPr>
                    <w:spacing w:before="41" w:line="186" w:lineRule="auto"/>
                    <w:ind w:firstLine="1834"/>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场地类别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550" w:type="dxa"/>
                  <w:vMerge w:val="continue"/>
                  <w:tcBorders>
                    <w:top w:val="nil"/>
                  </w:tcBorders>
                  <w:vAlign w:val="top"/>
                </w:tcPr>
                <w:p>
                  <w:pPr>
                    <w:rPr>
                      <w:rFonts w:hint="eastAsia" w:ascii="楷体" w:hAnsi="楷体" w:eastAsia="楷体" w:cs="楷体"/>
                      <w:color w:val="000000"/>
                      <w:kern w:val="0"/>
                      <w:sz w:val="21"/>
                      <w:szCs w:val="21"/>
                      <w:lang w:val="en-US" w:eastAsia="zh-CN" w:bidi="ar-SA"/>
                    </w:rPr>
                  </w:pPr>
                </w:p>
              </w:tc>
              <w:tc>
                <w:tcPr>
                  <w:tcW w:w="921" w:type="dxa"/>
                  <w:shd w:val="clear" w:color="auto" w:fill="FFFFFF"/>
                  <w:vAlign w:val="top"/>
                </w:tcPr>
                <w:p>
                  <w:pPr>
                    <w:spacing w:before="81" w:line="186" w:lineRule="auto"/>
                    <w:ind w:firstLine="393"/>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Ⅰ0</w:t>
                  </w:r>
                </w:p>
              </w:tc>
              <w:tc>
                <w:tcPr>
                  <w:tcW w:w="919" w:type="dxa"/>
                  <w:shd w:val="clear" w:color="auto" w:fill="FFFFFF"/>
                  <w:vAlign w:val="top"/>
                </w:tcPr>
                <w:p>
                  <w:pPr>
                    <w:spacing w:before="81" w:line="186" w:lineRule="auto"/>
                    <w:ind w:firstLine="39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Ⅰ1</w:t>
                  </w:r>
                </w:p>
              </w:tc>
              <w:tc>
                <w:tcPr>
                  <w:tcW w:w="921" w:type="dxa"/>
                  <w:shd w:val="clear" w:color="auto" w:fill="FFFFFF"/>
                  <w:vAlign w:val="top"/>
                </w:tcPr>
                <w:p>
                  <w:pPr>
                    <w:spacing w:before="81" w:line="186" w:lineRule="auto"/>
                    <w:ind w:firstLine="398"/>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Ⅱ</w:t>
                  </w:r>
                </w:p>
              </w:tc>
              <w:tc>
                <w:tcPr>
                  <w:tcW w:w="921" w:type="dxa"/>
                  <w:shd w:val="clear" w:color="auto" w:fill="FFFFFF"/>
                  <w:vAlign w:val="top"/>
                </w:tcPr>
                <w:p>
                  <w:pPr>
                    <w:spacing w:before="81" w:line="186" w:lineRule="auto"/>
                    <w:ind w:firstLine="36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Ⅲ</w:t>
                  </w:r>
                </w:p>
              </w:tc>
              <w:tc>
                <w:tcPr>
                  <w:tcW w:w="821" w:type="dxa"/>
                  <w:shd w:val="clear" w:color="auto" w:fill="FFFFFF"/>
                  <w:vAlign w:val="top"/>
                </w:tcPr>
                <w:p>
                  <w:pPr>
                    <w:spacing w:before="81" w:line="186" w:lineRule="auto"/>
                    <w:ind w:firstLine="31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550" w:type="dxa"/>
                  <w:shd w:val="clear" w:color="auto" w:fill="FFFFFF"/>
                  <w:vAlign w:val="top"/>
                </w:tcPr>
                <w:p>
                  <w:pPr>
                    <w:spacing w:before="53" w:line="186" w:lineRule="auto"/>
                    <w:ind w:firstLine="1265"/>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多遇地震动</w:t>
                  </w:r>
                </w:p>
              </w:tc>
              <w:tc>
                <w:tcPr>
                  <w:tcW w:w="921" w:type="dxa"/>
                  <w:shd w:val="clear" w:color="auto" w:fill="FFFFFF"/>
                  <w:vAlign w:val="top"/>
                </w:tcPr>
                <w:p>
                  <w:pPr>
                    <w:spacing w:before="87" w:line="180" w:lineRule="auto"/>
                    <w:ind w:firstLine="28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0.20</w:t>
                  </w:r>
                </w:p>
              </w:tc>
              <w:tc>
                <w:tcPr>
                  <w:tcW w:w="919" w:type="dxa"/>
                  <w:shd w:val="clear" w:color="auto" w:fill="FFFFFF"/>
                  <w:vAlign w:val="top"/>
                </w:tcPr>
                <w:p>
                  <w:pPr>
                    <w:spacing w:before="87" w:line="180" w:lineRule="auto"/>
                    <w:ind w:firstLine="27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0.25</w:t>
                  </w:r>
                </w:p>
              </w:tc>
              <w:tc>
                <w:tcPr>
                  <w:tcW w:w="921" w:type="dxa"/>
                  <w:shd w:val="clear" w:color="auto" w:fill="FFFFFF"/>
                  <w:vAlign w:val="top"/>
                </w:tcPr>
                <w:p>
                  <w:pPr>
                    <w:spacing w:before="87" w:line="180" w:lineRule="auto"/>
                    <w:ind w:firstLine="28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0.35</w:t>
                  </w:r>
                </w:p>
              </w:tc>
              <w:tc>
                <w:tcPr>
                  <w:tcW w:w="921" w:type="dxa"/>
                  <w:shd w:val="clear" w:color="auto" w:fill="FFFFFF"/>
                  <w:vAlign w:val="top"/>
                </w:tcPr>
                <w:p>
                  <w:pPr>
                    <w:spacing w:before="87" w:line="180" w:lineRule="auto"/>
                    <w:ind w:firstLine="283"/>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0.45</w:t>
                  </w:r>
                </w:p>
              </w:tc>
              <w:tc>
                <w:tcPr>
                  <w:tcW w:w="821" w:type="dxa"/>
                  <w:shd w:val="clear" w:color="auto" w:fill="FFFFFF"/>
                  <w:vAlign w:val="top"/>
                </w:tcPr>
                <w:p>
                  <w:pPr>
                    <w:spacing w:before="87" w:line="180" w:lineRule="auto"/>
                    <w:ind w:firstLine="23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550" w:type="dxa"/>
                  <w:shd w:val="clear" w:color="auto" w:fill="FFFFFF"/>
                  <w:vAlign w:val="top"/>
                </w:tcPr>
                <w:p>
                  <w:pPr>
                    <w:spacing w:before="54" w:line="186" w:lineRule="auto"/>
                    <w:ind w:firstLine="1255"/>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基本地震动</w:t>
                  </w:r>
                </w:p>
              </w:tc>
              <w:tc>
                <w:tcPr>
                  <w:tcW w:w="921" w:type="dxa"/>
                  <w:shd w:val="clear" w:color="auto" w:fill="FFFFFF"/>
                  <w:vAlign w:val="top"/>
                </w:tcPr>
                <w:p>
                  <w:pPr>
                    <w:spacing w:before="86" w:line="180" w:lineRule="auto"/>
                    <w:ind w:firstLine="28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0.20</w:t>
                  </w:r>
                </w:p>
              </w:tc>
              <w:tc>
                <w:tcPr>
                  <w:tcW w:w="919" w:type="dxa"/>
                  <w:shd w:val="clear" w:color="auto" w:fill="FFFFFF"/>
                  <w:vAlign w:val="top"/>
                </w:tcPr>
                <w:p>
                  <w:pPr>
                    <w:spacing w:before="86" w:line="180" w:lineRule="auto"/>
                    <w:ind w:firstLine="27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0.25</w:t>
                  </w:r>
                </w:p>
              </w:tc>
              <w:tc>
                <w:tcPr>
                  <w:tcW w:w="921" w:type="dxa"/>
                  <w:shd w:val="clear" w:color="auto" w:fill="FFFFFF"/>
                  <w:vAlign w:val="top"/>
                </w:tcPr>
                <w:p>
                  <w:pPr>
                    <w:spacing w:before="86" w:line="180" w:lineRule="auto"/>
                    <w:ind w:firstLine="28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0.35</w:t>
                  </w:r>
                </w:p>
              </w:tc>
              <w:tc>
                <w:tcPr>
                  <w:tcW w:w="921" w:type="dxa"/>
                  <w:shd w:val="clear" w:color="auto" w:fill="FFFFFF"/>
                  <w:vAlign w:val="top"/>
                </w:tcPr>
                <w:p>
                  <w:pPr>
                    <w:spacing w:before="86" w:line="180" w:lineRule="auto"/>
                    <w:ind w:firstLine="283"/>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0.45</w:t>
                  </w:r>
                </w:p>
              </w:tc>
              <w:tc>
                <w:tcPr>
                  <w:tcW w:w="821" w:type="dxa"/>
                  <w:shd w:val="clear" w:color="auto" w:fill="FFFFFF"/>
                  <w:vAlign w:val="top"/>
                </w:tcPr>
                <w:p>
                  <w:pPr>
                    <w:spacing w:before="86" w:line="180" w:lineRule="auto"/>
                    <w:ind w:firstLine="23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550" w:type="dxa"/>
                  <w:vAlign w:val="top"/>
                </w:tcPr>
                <w:p>
                  <w:pPr>
                    <w:spacing w:before="55" w:line="186" w:lineRule="auto"/>
                    <w:ind w:firstLine="1260"/>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罕遇地震动</w:t>
                  </w:r>
                </w:p>
              </w:tc>
              <w:tc>
                <w:tcPr>
                  <w:tcW w:w="921" w:type="dxa"/>
                  <w:shd w:val="clear" w:color="auto" w:fill="FFFFFF"/>
                  <w:vAlign w:val="top"/>
                </w:tcPr>
                <w:p>
                  <w:pPr>
                    <w:spacing w:before="89" w:line="180" w:lineRule="auto"/>
                    <w:ind w:firstLine="28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0.25</w:t>
                  </w:r>
                </w:p>
              </w:tc>
              <w:tc>
                <w:tcPr>
                  <w:tcW w:w="919" w:type="dxa"/>
                  <w:shd w:val="clear" w:color="auto" w:fill="FFFFFF"/>
                  <w:vAlign w:val="top"/>
                </w:tcPr>
                <w:p>
                  <w:pPr>
                    <w:spacing w:before="89" w:line="180" w:lineRule="auto"/>
                    <w:ind w:firstLine="279"/>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0.30</w:t>
                  </w:r>
                </w:p>
              </w:tc>
              <w:tc>
                <w:tcPr>
                  <w:tcW w:w="921" w:type="dxa"/>
                  <w:shd w:val="clear" w:color="auto" w:fill="FFFFFF"/>
                  <w:vAlign w:val="top"/>
                </w:tcPr>
                <w:p>
                  <w:pPr>
                    <w:spacing w:before="89" w:line="180" w:lineRule="auto"/>
                    <w:ind w:firstLine="282"/>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0.40</w:t>
                  </w:r>
                </w:p>
              </w:tc>
              <w:tc>
                <w:tcPr>
                  <w:tcW w:w="921" w:type="dxa"/>
                  <w:shd w:val="clear" w:color="auto" w:fill="FFFFFF"/>
                  <w:vAlign w:val="top"/>
                </w:tcPr>
                <w:p>
                  <w:pPr>
                    <w:spacing w:before="89" w:line="180" w:lineRule="auto"/>
                    <w:ind w:firstLine="283"/>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0.50</w:t>
                  </w:r>
                </w:p>
              </w:tc>
              <w:tc>
                <w:tcPr>
                  <w:tcW w:w="821" w:type="dxa"/>
                  <w:shd w:val="clear" w:color="auto" w:fill="FFFFFF"/>
                  <w:vAlign w:val="top"/>
                </w:tcPr>
                <w:p>
                  <w:pPr>
                    <w:spacing w:before="89" w:line="180" w:lineRule="auto"/>
                    <w:ind w:firstLine="231"/>
                    <w:rPr>
                      <w:rFonts w:hint="eastAsia" w:ascii="楷体" w:hAnsi="楷体" w:eastAsia="楷体" w:cs="楷体"/>
                      <w:color w:val="000000"/>
                      <w:kern w:val="0"/>
                      <w:sz w:val="21"/>
                      <w:szCs w:val="21"/>
                      <w:lang w:val="en-US" w:eastAsia="zh-CN" w:bidi="ar-SA"/>
                    </w:rPr>
                  </w:pPr>
                  <w:r>
                    <w:rPr>
                      <w:rFonts w:hint="eastAsia" w:ascii="楷体" w:hAnsi="楷体" w:eastAsia="楷体" w:cs="楷体"/>
                      <w:color w:val="000000"/>
                      <w:kern w:val="0"/>
                      <w:sz w:val="21"/>
                      <w:szCs w:val="21"/>
                      <w:lang w:val="en-US" w:eastAsia="zh-CN" w:bidi="ar-SA"/>
                    </w:rPr>
                    <w:t>0.70</w:t>
                  </w:r>
                </w:p>
              </w:tc>
            </w:tr>
          </w:tbl>
          <w:p>
            <w:pPr>
              <w:pStyle w:val="23"/>
              <w:spacing w:line="276" w:lineRule="auto"/>
              <w:rPr>
                <w:rFonts w:hint="default" w:ascii="楷体" w:hAnsi="楷体" w:eastAsia="楷体" w:cs="楷体"/>
                <w:bCs/>
                <w:color w:val="auto"/>
                <w:sz w:val="21"/>
                <w:szCs w:val="21"/>
                <w:lang w:val="en-US" w:eastAsia="zh-CN"/>
              </w:rPr>
            </w:pPr>
          </w:p>
          <w:p>
            <w:pPr>
              <w:pStyle w:val="23"/>
              <w:spacing w:line="276" w:lineRule="auto"/>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一</w:t>
            </w:r>
            <w:r>
              <w:rPr>
                <w:rFonts w:hint="eastAsia" w:ascii="楷体" w:hAnsi="楷体" w:eastAsia="楷体" w:cs="楷体"/>
                <w:bCs/>
                <w:color w:val="auto"/>
                <w:sz w:val="21"/>
                <w:szCs w:val="21"/>
                <w:lang w:val="en-US" w:eastAsia="zh-CN"/>
              </w:rPr>
              <w:t>抽查《小砩桥场地地震安全性评价报告》。时间：2021 年 6 月，报告机构：浙江省地震灾害防御中心（浙江省工程地震研究所）</w:t>
            </w:r>
          </w:p>
          <w:p>
            <w:pPr>
              <w:pStyle w:val="23"/>
              <w:spacing w:line="276" w:lineRule="auto"/>
              <w:rPr>
                <w:rFonts w:hint="eastAsia" w:ascii="楷体" w:hAnsi="楷体" w:eastAsia="楷体" w:cs="楷体"/>
                <w:bCs/>
                <w:color w:val="auto"/>
                <w:sz w:val="21"/>
                <w:szCs w:val="21"/>
                <w:lang w:val="en-US" w:eastAsia="zh-CN"/>
              </w:rPr>
            </w:pPr>
            <w:r>
              <w:drawing>
                <wp:inline distT="0" distB="0" distL="114300" distR="114300">
                  <wp:extent cx="3701415" cy="2361565"/>
                  <wp:effectExtent l="0" t="0" r="698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3701415" cy="2361565"/>
                          </a:xfrm>
                          <a:prstGeom prst="rect">
                            <a:avLst/>
                          </a:prstGeom>
                          <a:noFill/>
                          <a:ln>
                            <a:noFill/>
                          </a:ln>
                        </pic:spPr>
                      </pic:pic>
                    </a:graphicData>
                  </a:graphic>
                </wp:inline>
              </w:drawing>
            </w:r>
            <w:r>
              <w:drawing>
                <wp:inline distT="0" distB="0" distL="114300" distR="114300">
                  <wp:extent cx="3510280" cy="2459990"/>
                  <wp:effectExtent l="0" t="0" r="7620" b="38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3510280" cy="2459990"/>
                          </a:xfrm>
                          <a:prstGeom prst="rect">
                            <a:avLst/>
                          </a:prstGeom>
                          <a:noFill/>
                          <a:ln>
                            <a:noFill/>
                          </a:ln>
                        </pic:spPr>
                      </pic:pic>
                    </a:graphicData>
                  </a:graphic>
                </wp:inline>
              </w:drawing>
            </w:r>
          </w:p>
          <w:p>
            <w:pPr>
              <w:autoSpaceDE w:val="0"/>
              <w:autoSpaceDN w:val="0"/>
              <w:adjustRightInd w:val="0"/>
              <w:ind w:firstLine="315" w:firstLineChars="150"/>
              <w:jc w:val="lef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lang w:val="en-US" w:eastAsia="zh-CN"/>
              </w:rPr>
              <w:t>其余内容见扫描件</w:t>
            </w:r>
          </w:p>
        </w:tc>
        <w:tc>
          <w:tcPr>
            <w:tcW w:w="158" w:type="pct"/>
            <w:noWrap w:val="0"/>
            <w:vAlign w:val="top"/>
          </w:tcPr>
          <w:p>
            <w:pPr>
              <w:bidi w:val="0"/>
              <w:rPr>
                <w:rFonts w:hint="eastAsia" w:ascii="楷体" w:hAnsi="楷体" w:eastAsia="楷体" w:cs="楷体"/>
                <w:sz w:val="21"/>
                <w:szCs w:val="21"/>
                <w:lang w:eastAsia="zh-CN"/>
              </w:rPr>
            </w:pPr>
          </w:p>
          <w:p>
            <w:pPr>
              <w:bidi w:val="0"/>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 w:type="pct"/>
            <w:noWrap w:val="0"/>
            <w:vAlign w:val="center"/>
          </w:tcPr>
          <w:p>
            <w:pPr>
              <w:bidi w:val="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不合格输出的控制</w:t>
            </w:r>
          </w:p>
        </w:tc>
        <w:tc>
          <w:tcPr>
            <w:tcW w:w="356" w:type="pct"/>
            <w:noWrap w:val="0"/>
            <w:vAlign w:val="center"/>
          </w:tcPr>
          <w:p>
            <w:pPr>
              <w:bidi w:val="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 xml:space="preserve">8.7 </w:t>
            </w:r>
          </w:p>
        </w:tc>
        <w:tc>
          <w:tcPr>
            <w:tcW w:w="3994" w:type="pct"/>
            <w:noWrap w:val="0"/>
            <w:vAlign w:val="center"/>
          </w:tcPr>
          <w:p>
            <w:pPr>
              <w:pStyle w:val="23"/>
              <w:spacing w:line="240" w:lineRule="auto"/>
              <w:jc w:val="both"/>
              <w:rPr>
                <w:rFonts w:hint="eastAsia" w:ascii="楷体" w:hAnsi="楷体" w:eastAsia="楷体" w:cs="楷体"/>
                <w:sz w:val="21"/>
                <w:szCs w:val="21"/>
              </w:rPr>
            </w:pPr>
            <w:r>
              <w:rPr>
                <w:rFonts w:hint="eastAsia" w:ascii="楷体" w:hAnsi="楷体" w:eastAsia="楷体" w:cs="楷体"/>
                <w:sz w:val="21"/>
                <w:szCs w:val="21"/>
              </w:rPr>
              <w:t>●编制了《不合格控制程序》，程序内容符合标准要求。</w:t>
            </w:r>
          </w:p>
          <w:p>
            <w:pPr>
              <w:pStyle w:val="23"/>
              <w:spacing w:line="240" w:lineRule="auto"/>
              <w:jc w:val="both"/>
              <w:rPr>
                <w:rFonts w:hint="default" w:ascii="楷体" w:hAnsi="楷体" w:eastAsia="楷体" w:cs="楷体"/>
                <w:sz w:val="21"/>
                <w:szCs w:val="21"/>
                <w:lang w:val="en-US"/>
              </w:rPr>
            </w:pPr>
            <w:r>
              <w:rPr>
                <w:rFonts w:hint="eastAsia" w:ascii="楷体" w:hAnsi="楷体" w:eastAsia="楷体" w:cs="楷体"/>
                <w:sz w:val="21"/>
                <w:szCs w:val="21"/>
                <w:lang w:val="en-US" w:eastAsia="zh-CN"/>
              </w:rPr>
              <w:t>--地震评价过程中产生得数据会经过多次监测、评审，确保数据符合实际情况，数据的准确性参照《测量不确定度评定方法》，对结果测量不确定度评定。</w:t>
            </w:r>
          </w:p>
          <w:p>
            <w:pPr>
              <w:bidi w:val="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自20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体系运行至今</w:t>
            </w:r>
            <w:r>
              <w:rPr>
                <w:rFonts w:hint="eastAsia" w:ascii="楷体" w:hAnsi="楷体" w:eastAsia="楷体" w:cs="楷体"/>
                <w:sz w:val="21"/>
                <w:szCs w:val="21"/>
              </w:rPr>
              <w:t>，经和受审核方沟通，未发生不合格。经查基本符合要求</w:t>
            </w:r>
          </w:p>
        </w:tc>
        <w:tc>
          <w:tcPr>
            <w:tcW w:w="158" w:type="pct"/>
            <w:noWrap w:val="0"/>
            <w:vAlign w:val="top"/>
          </w:tcPr>
          <w:p>
            <w:pPr>
              <w:bidi w:val="0"/>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491"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运行控制</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8.1</w:t>
            </w:r>
          </w:p>
        </w:tc>
        <w:tc>
          <w:tcPr>
            <w:tcW w:w="3994" w:type="pct"/>
            <w:noWrap w:val="0"/>
            <w:vAlign w:val="center"/>
          </w:tcPr>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本部门执行的运行控制文件包括：《环境安全运行控制程序》，固体废弃物管理规定、《员工健康卫生管理程序》等</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运行控制情况：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1、办公区域：生活污水排放至城市管网。噪声：办公远程视频不产生明显噪声。</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固废：固体废物主要是生活垃圾、办公产生废纸张废包装物等，配置了垃圾桶、可回收箱分类处置；办公用纸由办公室负责，复印、打印耗材都有办公室统一负责，集中处置。</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2、办公过程注意节约用电，做到人走灯灭，电脑长时间不用时关机，下班前要关闭电源，防止触电。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3、办公区域禁止吸烟，查看办公区域环境整洁、宽敞、办公设备状态良好、无安全隐患。</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4、工作时间平均每天不超过8小时。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5、查看办公区域，整洁、光线充足、室内空气良好，办公条件较好，办公设备安全状态良好，教育员工正确使用办公设备，规范用电，无乱拉线现象，防止火灾发生。</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7、相关方施加影响：公司能够控制或能够施加影响的相关方有顾客等。提供了“致相关方的公开信”，将公司的环境/安全控制要求发放</w:t>
            </w:r>
            <w:r>
              <w:rPr>
                <w:rFonts w:hint="eastAsia" w:ascii="楷体" w:hAnsi="楷体" w:eastAsia="楷体" w:cs="宋体"/>
                <w:bCs w:val="0"/>
                <w:color w:val="000000"/>
                <w:spacing w:val="0"/>
                <w:kern w:val="2"/>
                <w:sz w:val="24"/>
                <w:szCs w:val="24"/>
                <w:lang w:val="en-US" w:eastAsia="zh-CN" w:bidi="ar-SA"/>
              </w:rPr>
              <w:t>给</w:t>
            </w:r>
            <w:r>
              <w:rPr>
                <w:rFonts w:hint="eastAsia" w:ascii="楷体" w:hAnsi="楷体" w:eastAsia="楷体" w:cs="宋体"/>
                <w:bCs w:val="0"/>
                <w:color w:val="000000"/>
                <w:spacing w:val="0"/>
                <w:kern w:val="2"/>
                <w:sz w:val="24"/>
                <w:szCs w:val="24"/>
                <w:lang w:val="zh-CN" w:eastAsia="zh-CN" w:bidi="ar-SA"/>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8、</w:t>
            </w:r>
            <w:r>
              <w:rPr>
                <w:rFonts w:hint="eastAsia" w:ascii="楷体" w:hAnsi="楷体" w:eastAsia="楷体" w:cs="宋体"/>
                <w:bCs w:val="0"/>
                <w:color w:val="000000"/>
                <w:spacing w:val="0"/>
                <w:kern w:val="2"/>
                <w:sz w:val="24"/>
                <w:szCs w:val="24"/>
                <w:lang w:val="en-US" w:eastAsia="zh-CN" w:bidi="ar-SA"/>
              </w:rPr>
              <w:t>外出勘测，</w:t>
            </w:r>
            <w:r>
              <w:rPr>
                <w:rFonts w:hint="eastAsia" w:ascii="楷体" w:hAnsi="楷体" w:eastAsia="楷体" w:cs="宋体"/>
                <w:bCs w:val="0"/>
                <w:color w:val="000000"/>
                <w:spacing w:val="0"/>
                <w:kern w:val="2"/>
                <w:sz w:val="24"/>
                <w:szCs w:val="24"/>
                <w:lang w:val="zh-CN" w:eastAsia="zh-CN" w:bidi="ar-SA"/>
              </w:rPr>
              <w:t>要求遵守道路交通法规，不违章驾车，驾驶证和车辆定期年审，确保行车安全，</w:t>
            </w:r>
            <w:r>
              <w:rPr>
                <w:rFonts w:hint="eastAsia" w:ascii="楷体" w:hAnsi="楷体" w:eastAsia="楷体" w:cs="宋体"/>
                <w:bCs w:val="0"/>
                <w:color w:val="000000"/>
                <w:spacing w:val="0"/>
                <w:kern w:val="2"/>
                <w:sz w:val="24"/>
                <w:szCs w:val="24"/>
                <w:lang w:val="en-US" w:eastAsia="zh-CN" w:bidi="ar-SA"/>
              </w:rPr>
              <w:t>勘测现场严格遵守现场的安全作业规程，佩戴好劳保用品，做好个人防护，勘测过程产生的固废存放到指定位置，防止造成环境污染</w:t>
            </w:r>
            <w:r>
              <w:rPr>
                <w:rFonts w:hint="eastAsia" w:ascii="楷体" w:hAnsi="楷体" w:eastAsia="楷体" w:cs="宋体"/>
                <w:bCs w:val="0"/>
                <w:color w:val="000000"/>
                <w:spacing w:val="0"/>
                <w:kern w:val="2"/>
                <w:sz w:val="24"/>
                <w:szCs w:val="24"/>
                <w:lang w:val="zh-CN" w:eastAsia="zh-CN" w:bidi="ar-SA"/>
              </w:rPr>
              <w:t>。</w:t>
            </w:r>
          </w:p>
          <w:p>
            <w:pPr>
              <w:ind w:firstLine="480" w:firstLineChars="200"/>
              <w:rPr>
                <w:rFonts w:hint="default" w:ascii="楷体" w:hAnsi="楷体" w:eastAsia="楷体" w:cs="宋体"/>
                <w:bCs w:val="0"/>
                <w:color w:val="000000"/>
                <w:spacing w:val="0"/>
                <w:kern w:val="2"/>
                <w:sz w:val="24"/>
                <w:szCs w:val="24"/>
                <w:lang w:val="en-US" w:eastAsia="zh-CN" w:bidi="ar-SA"/>
              </w:rPr>
            </w:pP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1"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应急准备和响应</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w:t>
            </w:r>
          </w:p>
        </w:tc>
        <w:tc>
          <w:tcPr>
            <w:tcW w:w="3994"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执行《</w:t>
            </w:r>
            <w:r>
              <w:rPr>
                <w:rFonts w:hint="eastAsia" w:ascii="楷体" w:hAnsi="楷体" w:eastAsia="楷体" w:cs="宋体"/>
                <w:bCs w:val="0"/>
                <w:color w:val="000000"/>
                <w:spacing w:val="0"/>
                <w:kern w:val="2"/>
                <w:sz w:val="24"/>
                <w:szCs w:val="24"/>
                <w:lang w:val="zh-CN" w:eastAsia="zh-CN" w:bidi="ar-SA"/>
              </w:rPr>
              <w:t>应急准备和响应</w:t>
            </w:r>
            <w:r>
              <w:rPr>
                <w:rFonts w:hint="eastAsia" w:ascii="楷体" w:hAnsi="楷体" w:eastAsia="楷体" w:cs="宋体"/>
                <w:bCs w:val="0"/>
                <w:color w:val="000000"/>
                <w:spacing w:val="0"/>
                <w:kern w:val="2"/>
                <w:sz w:val="24"/>
                <w:szCs w:val="24"/>
                <w:lang w:val="en-US" w:eastAsia="zh-CN" w:bidi="ar-SA"/>
              </w:rPr>
              <w:t>控制</w:t>
            </w:r>
            <w:r>
              <w:rPr>
                <w:rFonts w:hint="eastAsia" w:ascii="楷体" w:hAnsi="楷体" w:eastAsia="楷体" w:cs="宋体"/>
                <w:bCs w:val="0"/>
                <w:color w:val="000000"/>
                <w:spacing w:val="0"/>
                <w:kern w:val="2"/>
                <w:sz w:val="24"/>
                <w:szCs w:val="24"/>
                <w:lang w:val="zh-CN" w:eastAsia="zh-CN" w:bidi="ar-SA"/>
              </w:rPr>
              <w:t>程序</w:t>
            </w:r>
            <w:r>
              <w:rPr>
                <w:rFonts w:hint="eastAsia" w:ascii="楷体" w:hAnsi="楷体" w:eastAsia="楷体" w:cs="宋体"/>
                <w:bCs w:val="0"/>
                <w:color w:val="000000"/>
                <w:spacing w:val="0"/>
                <w:kern w:val="2"/>
                <w:sz w:val="24"/>
                <w:szCs w:val="24"/>
                <w:lang w:val="en-US" w:eastAsia="zh-CN" w:bidi="ar-SA"/>
              </w:rPr>
              <w:t>》，参加了公司组织消防演练，相关记录详见办公室相关条款。</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1"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不符合和纠正措施</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QEO10.2</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994"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企业通过过程的监视和测量、绩效考核、内审、管理评审等方式和机制，确保质量管理制度有效执行。</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企业经过策划，采用对产品的监视和测量，对不合格品控制等来证实产品的符合性。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企业制定不符合控制程序、纠正措施控制程序等，通过分析实际存在的或潜在的不符合的原因，制定纠正和预防措施，并验证其效果，以防止不符合的发生／再发生，实现持续改进绩效的目的。</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对内审中的不符合，采取了纠正措施，并验证；</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为保证公司职业健康安全管理体系的有效运行，通过对安全事件的调查处理，以确保管理体系运行的有效性。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经查在公司正常经营活动中，出现了轻微不符合，部门已经采取纠正和纠正措施，经验证纠正措施有效。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未发生过环境、安全等事故。</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查持续改进：</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管理评审提出改进措施正在实施过程中。</w:t>
            </w:r>
          </w:p>
        </w:tc>
        <w:tc>
          <w:tcPr>
            <w:tcW w:w="15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bl>
    <w:p>
      <w:pPr>
        <w:pStyle w:val="10"/>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7D0673"/>
    <w:rsid w:val="04B070D8"/>
    <w:rsid w:val="04E3379D"/>
    <w:rsid w:val="07B3748A"/>
    <w:rsid w:val="0A246BA4"/>
    <w:rsid w:val="0A2A630B"/>
    <w:rsid w:val="0A9D0CAF"/>
    <w:rsid w:val="11010C82"/>
    <w:rsid w:val="11172982"/>
    <w:rsid w:val="11E2324D"/>
    <w:rsid w:val="130E70A4"/>
    <w:rsid w:val="137F4113"/>
    <w:rsid w:val="14241075"/>
    <w:rsid w:val="14EC74AA"/>
    <w:rsid w:val="1B9A63DC"/>
    <w:rsid w:val="1F8228E2"/>
    <w:rsid w:val="1FC01D5D"/>
    <w:rsid w:val="20A339FB"/>
    <w:rsid w:val="20CD434D"/>
    <w:rsid w:val="21520FC2"/>
    <w:rsid w:val="21C60E9C"/>
    <w:rsid w:val="21E43DD9"/>
    <w:rsid w:val="22392900"/>
    <w:rsid w:val="22B920CC"/>
    <w:rsid w:val="237107AD"/>
    <w:rsid w:val="24557535"/>
    <w:rsid w:val="248832CB"/>
    <w:rsid w:val="2543007A"/>
    <w:rsid w:val="274F297F"/>
    <w:rsid w:val="2C2800BA"/>
    <w:rsid w:val="2D6F0D20"/>
    <w:rsid w:val="2E8D4551"/>
    <w:rsid w:val="31054460"/>
    <w:rsid w:val="31861F50"/>
    <w:rsid w:val="32913106"/>
    <w:rsid w:val="331A22F8"/>
    <w:rsid w:val="35027317"/>
    <w:rsid w:val="358C5213"/>
    <w:rsid w:val="37521A1F"/>
    <w:rsid w:val="381E48EB"/>
    <w:rsid w:val="38B823C6"/>
    <w:rsid w:val="39771278"/>
    <w:rsid w:val="3A443BE6"/>
    <w:rsid w:val="3CAC12F4"/>
    <w:rsid w:val="3D4A734A"/>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3B00F90"/>
    <w:rsid w:val="555B67E4"/>
    <w:rsid w:val="560B383E"/>
    <w:rsid w:val="568878FC"/>
    <w:rsid w:val="573C7EB2"/>
    <w:rsid w:val="59F41F84"/>
    <w:rsid w:val="5AC25B7F"/>
    <w:rsid w:val="5AD13E5C"/>
    <w:rsid w:val="5EBA3AB0"/>
    <w:rsid w:val="5F6B5DAC"/>
    <w:rsid w:val="61DA5BB0"/>
    <w:rsid w:val="623A597E"/>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17B3D"/>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5">
    <w:name w:val="Normal Indent"/>
    <w:basedOn w:val="1"/>
    <w:qFormat/>
    <w:uiPriority w:val="0"/>
    <w:pPr>
      <w:adjustRightInd/>
      <w:snapToGrid/>
      <w:spacing w:line="240" w:lineRule="auto"/>
      <w:ind w:firstLine="420"/>
      <w:jc w:val="both"/>
    </w:pPr>
    <w:rPr>
      <w:szCs w:val="20"/>
    </w:rPr>
  </w:style>
  <w:style w:type="paragraph" w:styleId="6">
    <w:name w:val="Body Text"/>
    <w:basedOn w:val="1"/>
    <w:qFormat/>
    <w:uiPriority w:val="0"/>
    <w:pPr>
      <w:spacing w:after="120"/>
    </w:pPr>
    <w:rPr>
      <w:szCs w:val="24"/>
    </w:rPr>
  </w:style>
  <w:style w:type="paragraph" w:styleId="7">
    <w:name w:val="Body Text Indent"/>
    <w:basedOn w:val="1"/>
    <w:qFormat/>
    <w:uiPriority w:val="0"/>
    <w:pPr>
      <w:ind w:left="360"/>
    </w:pPr>
    <w:rPr>
      <w:sz w:val="20"/>
    </w:rPr>
  </w:style>
  <w:style w:type="paragraph" w:styleId="8">
    <w:name w:val="Plain Text"/>
    <w:basedOn w:val="1"/>
    <w:uiPriority w:val="0"/>
    <w:pPr>
      <w:adjustRightInd/>
      <w:snapToGrid/>
      <w:jc w:val="both"/>
    </w:pPr>
    <w:rPr>
      <w:rFonts w:ascii="宋体" w:hAnsi="Courier New"/>
      <w:szCs w:val="20"/>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NormalCharacter"/>
    <w:semiHidden/>
    <w:qFormat/>
    <w:uiPriority w:val="0"/>
    <w:rPr>
      <w:kern w:val="2"/>
      <w:sz w:val="21"/>
      <w:szCs w:val="24"/>
      <w:lang w:val="en-US" w:eastAsia="zh-CN" w:bidi="ar-SA"/>
    </w:rPr>
  </w:style>
  <w:style w:type="character" w:customStyle="1" w:styleId="21">
    <w:name w:val="layui-this"/>
    <w:basedOn w:val="14"/>
    <w:qFormat/>
    <w:uiPriority w:val="0"/>
    <w:rPr>
      <w:bdr w:val="single" w:color="EEEEEE" w:sz="4" w:space="0"/>
      <w:shd w:val="clear" w:fill="FFFFFF"/>
    </w:rPr>
  </w:style>
  <w:style w:type="character" w:customStyle="1" w:styleId="22">
    <w:name w:val="first-child"/>
    <w:basedOn w:val="14"/>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表中文字居中"/>
    <w:basedOn w:val="1"/>
    <w:qFormat/>
    <w:uiPriority w:val="0"/>
    <w:pPr>
      <w:adjustRightInd/>
      <w:snapToGrid/>
      <w:spacing w:line="360" w:lineRule="auto"/>
    </w:pPr>
    <w:rPr>
      <w:rFonts w:eastAsia="黑体"/>
      <w:b/>
      <w:bCs/>
      <w:szCs w:val="48"/>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2021-12-20T10:10:57Z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521749EFF82D4D6491B922F04B4BC049</vt:lpwstr>
  </property>
</Properties>
</file>