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过程与活动、</w:t>
            </w:r>
          </w:p>
          <w:p>
            <w:pPr>
              <w:jc w:val="center"/>
              <w:rPr>
                <w:rFonts w:hint="eastAsia" w:ascii="华文楷体" w:hAnsi="华文楷体" w:eastAsia="华文楷体" w:cs="华文楷体"/>
              </w:rPr>
            </w:pPr>
            <w:r>
              <w:rPr>
                <w:rFonts w:hint="eastAsia" w:ascii="华文楷体" w:hAnsi="华文楷体" w:eastAsia="华文楷体" w:cs="华文楷体"/>
                <w:sz w:val="24"/>
                <w:szCs w:val="24"/>
              </w:rPr>
              <w:t>抽样计划</w:t>
            </w:r>
          </w:p>
        </w:tc>
        <w:tc>
          <w:tcPr>
            <w:tcW w:w="960" w:type="dxa"/>
            <w:vMerge w:val="restart"/>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涉及</w:t>
            </w:r>
          </w:p>
          <w:p>
            <w:pPr>
              <w:rPr>
                <w:rFonts w:hint="eastAsia" w:ascii="华文楷体" w:hAnsi="华文楷体" w:eastAsia="华文楷体" w:cs="华文楷体"/>
              </w:rPr>
            </w:pPr>
            <w:r>
              <w:rPr>
                <w:rFonts w:hint="eastAsia" w:ascii="华文楷体" w:hAnsi="华文楷体" w:eastAsia="华文楷体" w:cs="华文楷体"/>
                <w:sz w:val="24"/>
                <w:szCs w:val="24"/>
              </w:rPr>
              <w:t>条款</w:t>
            </w:r>
          </w:p>
        </w:tc>
        <w:tc>
          <w:tcPr>
            <w:tcW w:w="10004" w:type="dxa"/>
            <w:vAlign w:val="center"/>
          </w:tcPr>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 xml:space="preserve">受审核部门：财务部               主管领导：李云琼           </w:t>
            </w:r>
            <w:r>
              <w:rPr>
                <w:rFonts w:hint="eastAsia" w:ascii="华文楷体" w:hAnsi="华文楷体" w:eastAsia="华文楷体" w:cs="华文楷体"/>
                <w:sz w:val="24"/>
                <w:szCs w:val="24"/>
                <w:lang w:val="en-US" w:eastAsia="zh-CN"/>
              </w:rPr>
              <w:t>远程</w:t>
            </w:r>
          </w:p>
        </w:tc>
        <w:tc>
          <w:tcPr>
            <w:tcW w:w="1585" w:type="dxa"/>
            <w:vMerge w:val="restart"/>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rPr>
            </w:pPr>
          </w:p>
        </w:tc>
        <w:tc>
          <w:tcPr>
            <w:tcW w:w="960" w:type="dxa"/>
            <w:vMerge w:val="continue"/>
            <w:vAlign w:val="center"/>
          </w:tcPr>
          <w:p>
            <w:pPr>
              <w:rPr>
                <w:rFonts w:hint="eastAsia" w:ascii="华文楷体" w:hAnsi="华文楷体" w:eastAsia="华文楷体" w:cs="华文楷体"/>
              </w:rPr>
            </w:pPr>
          </w:p>
        </w:tc>
        <w:tc>
          <w:tcPr>
            <w:tcW w:w="10004"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 xml:space="preserve">审核员：   </w:t>
            </w:r>
            <w:r>
              <w:rPr>
                <w:rFonts w:hint="eastAsia" w:ascii="华文楷体" w:hAnsi="华文楷体" w:eastAsia="华文楷体" w:cs="华文楷体"/>
                <w:sz w:val="24"/>
                <w:szCs w:val="24"/>
                <w:lang w:eastAsia="zh-CN"/>
              </w:rPr>
              <w:t>强兴</w:t>
            </w:r>
            <w:r>
              <w:rPr>
                <w:rFonts w:hint="eastAsia" w:ascii="华文楷体" w:hAnsi="华文楷体" w:eastAsia="华文楷体" w:cs="华文楷体"/>
                <w:sz w:val="24"/>
                <w:szCs w:val="24"/>
              </w:rPr>
              <w:t xml:space="preserve">               审核时间：202</w:t>
            </w:r>
            <w:r>
              <w:rPr>
                <w:rFonts w:hint="eastAsia" w:ascii="华文楷体" w:hAnsi="华文楷体" w:eastAsia="华文楷体" w:cs="华文楷体"/>
                <w:sz w:val="24"/>
                <w:szCs w:val="24"/>
                <w:lang w:val="en-US" w:eastAsia="zh-CN"/>
              </w:rPr>
              <w:t>2</w:t>
            </w:r>
            <w:r>
              <w:rPr>
                <w:rFonts w:hint="eastAsia" w:ascii="华文楷体" w:hAnsi="华文楷体" w:eastAsia="华文楷体" w:cs="华文楷体"/>
                <w:sz w:val="24"/>
                <w:szCs w:val="24"/>
              </w:rPr>
              <w:t>.1.1</w:t>
            </w:r>
            <w:r>
              <w:rPr>
                <w:rFonts w:hint="eastAsia" w:ascii="华文楷体" w:hAnsi="华文楷体" w:eastAsia="华文楷体" w:cs="华文楷体"/>
                <w:sz w:val="24"/>
                <w:szCs w:val="24"/>
                <w:lang w:val="en-US" w:eastAsia="zh-CN"/>
              </w:rPr>
              <w:t>2</w:t>
            </w:r>
          </w:p>
        </w:tc>
        <w:tc>
          <w:tcPr>
            <w:tcW w:w="1585" w:type="dxa"/>
            <w:vMerge w:val="continue"/>
          </w:tcPr>
          <w:p>
            <w:pPr>
              <w:rPr>
                <w:rFonts w:hint="eastAsia" w:ascii="华文楷体" w:hAnsi="华文楷体" w:eastAsia="华文楷体" w:cs="华文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rPr>
            </w:pPr>
          </w:p>
        </w:tc>
        <w:tc>
          <w:tcPr>
            <w:tcW w:w="960" w:type="dxa"/>
            <w:vMerge w:val="continue"/>
            <w:vAlign w:val="center"/>
          </w:tcPr>
          <w:p>
            <w:pPr>
              <w:rPr>
                <w:rFonts w:hint="eastAsia" w:ascii="华文楷体" w:hAnsi="华文楷体" w:eastAsia="华文楷体" w:cs="华文楷体"/>
              </w:rPr>
            </w:pP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rPr>
              <w:t>审核条款：</w:t>
            </w:r>
            <w:r>
              <w:rPr>
                <w:rFonts w:hint="eastAsia" w:ascii="华文楷体" w:hAnsi="华文楷体" w:eastAsia="华文楷体" w:cs="华文楷体"/>
                <w:color w:val="000000"/>
                <w:szCs w:val="21"/>
              </w:rPr>
              <w:t>OHMS: 5.3组织的岗位、职责和权限、6.2职业健康安全目标、6.1.2危险源辨识与评价、8.1运行策划和控制、8.2应急准备和响应</w:t>
            </w:r>
          </w:p>
        </w:tc>
        <w:tc>
          <w:tcPr>
            <w:tcW w:w="1585" w:type="dxa"/>
            <w:vMerge w:val="continue"/>
          </w:tcPr>
          <w:p>
            <w:pPr>
              <w:rPr>
                <w:rFonts w:hint="eastAsia" w:ascii="华文楷体" w:hAnsi="华文楷体" w:eastAsia="华文楷体" w:cs="华文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hint="eastAsia" w:ascii="华文楷体" w:hAnsi="华文楷体" w:eastAsia="华文楷体" w:cs="华文楷体"/>
              </w:rPr>
            </w:pPr>
            <w:r>
              <w:rPr>
                <w:rFonts w:hint="eastAsia" w:ascii="华文楷体" w:hAnsi="华文楷体" w:eastAsia="华文楷体" w:cs="华文楷体"/>
                <w:color w:val="000000"/>
                <w:szCs w:val="21"/>
              </w:rPr>
              <w:t>组织的岗位、职责和权限</w:t>
            </w:r>
          </w:p>
        </w:tc>
        <w:tc>
          <w:tcPr>
            <w:tcW w:w="960" w:type="dxa"/>
          </w:tcPr>
          <w:p>
            <w:pPr>
              <w:spacing w:line="280" w:lineRule="exact"/>
              <w:rPr>
                <w:rFonts w:hint="eastAsia" w:ascii="华文楷体" w:hAnsi="华文楷体" w:eastAsia="华文楷体" w:cs="华文楷体"/>
                <w:color w:val="000000"/>
                <w:szCs w:val="21"/>
              </w:rPr>
            </w:pPr>
            <w:r>
              <w:rPr>
                <w:rFonts w:hint="eastAsia" w:ascii="华文楷体" w:hAnsi="华文楷体" w:eastAsia="华文楷体" w:cs="华文楷体"/>
                <w:color w:val="000000"/>
                <w:szCs w:val="21"/>
              </w:rPr>
              <w:t>5.3</w:t>
            </w:r>
          </w:p>
        </w:tc>
        <w:tc>
          <w:tcPr>
            <w:tcW w:w="10004" w:type="dxa"/>
          </w:tcPr>
          <w:p>
            <w:pPr>
              <w:spacing w:line="280" w:lineRule="exact"/>
              <w:rPr>
                <w:rFonts w:hint="eastAsia" w:ascii="华文楷体" w:hAnsi="华文楷体" w:eastAsia="华文楷体" w:cs="华文楷体"/>
                <w:color w:val="000000"/>
                <w:szCs w:val="21"/>
                <w:u w:val="none"/>
              </w:rPr>
            </w:pPr>
            <w:r>
              <w:rPr>
                <w:rFonts w:hint="eastAsia" w:ascii="华文楷体" w:hAnsi="华文楷体" w:eastAsia="华文楷体" w:cs="华文楷体"/>
                <w:color w:val="000000"/>
                <w:szCs w:val="21"/>
                <w:u w:val="none"/>
              </w:rPr>
              <w:t>人员和岗位设置：</w:t>
            </w:r>
          </w:p>
          <w:p>
            <w:pPr>
              <w:spacing w:line="280" w:lineRule="exact"/>
              <w:rPr>
                <w:rFonts w:hint="eastAsia" w:ascii="华文楷体" w:hAnsi="华文楷体" w:eastAsia="华文楷体" w:cs="华文楷体"/>
                <w:color w:val="000000"/>
                <w:szCs w:val="21"/>
                <w:u w:val="none"/>
              </w:rPr>
            </w:pPr>
            <w:r>
              <w:rPr>
                <w:rFonts w:hint="eastAsia" w:ascii="华文楷体" w:hAnsi="华文楷体" w:eastAsia="华文楷体" w:cs="华文楷体"/>
                <w:color w:val="000000"/>
                <w:szCs w:val="21"/>
                <w:u w:val="none"/>
              </w:rPr>
              <w:t>部门共2人、其中出纳财务各1人；</w:t>
            </w:r>
          </w:p>
          <w:p>
            <w:pPr>
              <w:spacing w:line="280" w:lineRule="exact"/>
              <w:rPr>
                <w:rFonts w:hint="eastAsia" w:ascii="华文楷体" w:hAnsi="华文楷体" w:eastAsia="华文楷体" w:cs="华文楷体"/>
                <w:color w:val="000000"/>
                <w:szCs w:val="21"/>
                <w:u w:val="none"/>
              </w:rPr>
            </w:pPr>
            <w:r>
              <w:rPr>
                <w:rFonts w:hint="eastAsia" w:ascii="华文楷体" w:hAnsi="华文楷体" w:eastAsia="华文楷体" w:cs="华文楷体"/>
                <w:color w:val="000000"/>
                <w:szCs w:val="21"/>
                <w:u w:val="none"/>
              </w:rPr>
              <w:t>OHSMS职责和权限：</w:t>
            </w:r>
          </w:p>
          <w:p>
            <w:pPr>
              <w:spacing w:line="280" w:lineRule="exact"/>
              <w:rPr>
                <w:rFonts w:hint="eastAsia" w:ascii="华文楷体" w:hAnsi="华文楷体" w:eastAsia="华文楷体" w:cs="华文楷体"/>
                <w:color w:val="000000"/>
                <w:szCs w:val="21"/>
              </w:rPr>
            </w:pPr>
            <w:r>
              <w:rPr>
                <w:rFonts w:hint="eastAsia" w:ascii="华文楷体" w:hAnsi="华文楷体" w:eastAsia="华文楷体" w:cs="华文楷体"/>
                <w:color w:val="000000"/>
                <w:szCs w:val="21"/>
                <w:u w:val="none"/>
              </w:rPr>
              <w:t>负责公司环境管理体系所需资金的筹措和安排，参与公司环境因素的识别和评价按照公司环境和职业健康安全要求操作、参与危险源辨识和风险评价及环境因素评价、负责识别本部门的环境因素和危险源的辨识评价和控制工作；负责日常环境和安全检查、本部门的环境和安全的培训和教育宣传、不符合的调查和原因分析和纠正及纠正措施和预</w:t>
            </w:r>
            <w:r>
              <w:rPr>
                <w:rFonts w:hint="eastAsia" w:ascii="华文楷体" w:hAnsi="华文楷体" w:eastAsia="华文楷体" w:cs="华文楷体"/>
                <w:color w:val="000000"/>
                <w:szCs w:val="21"/>
              </w:rPr>
              <w:t xml:space="preserve">防措施的实施检查； </w:t>
            </w:r>
          </w:p>
          <w:p>
            <w:pPr>
              <w:spacing w:line="280" w:lineRule="exact"/>
              <w:rPr>
                <w:rFonts w:hint="eastAsia" w:ascii="华文楷体" w:hAnsi="华文楷体" w:eastAsia="华文楷体" w:cs="华文楷体"/>
                <w:color w:val="000000"/>
                <w:szCs w:val="21"/>
              </w:rPr>
            </w:pPr>
            <w:r>
              <w:rPr>
                <w:rFonts w:hint="eastAsia" w:ascii="华文楷体" w:hAnsi="华文楷体" w:eastAsia="华文楷体" w:cs="华文楷体"/>
                <w:color w:val="000000"/>
                <w:szCs w:val="21"/>
                <w:u w:val="single"/>
              </w:rPr>
              <w:t>日常环安检查由</w:t>
            </w:r>
            <w:r>
              <w:rPr>
                <w:rFonts w:hint="eastAsia" w:ascii="华文楷体" w:hAnsi="华文楷体" w:eastAsia="华文楷体" w:cs="华文楷体"/>
                <w:color w:val="000000"/>
                <w:szCs w:val="21"/>
              </w:rPr>
              <w:t>安全事务代表统一负责；</w:t>
            </w:r>
          </w:p>
        </w:tc>
        <w:tc>
          <w:tcPr>
            <w:tcW w:w="1585" w:type="dxa"/>
          </w:tcPr>
          <w:p>
            <w:pPr>
              <w:rPr>
                <w:rFonts w:hint="eastAsia" w:ascii="华文楷体" w:hAnsi="华文楷体" w:eastAsia="华文楷体" w:cs="华文楷体"/>
                <w:lang w:val="en-US" w:eastAsia="zh-CN"/>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60" w:type="dxa"/>
          </w:tcPr>
          <w:p>
            <w:pPr>
              <w:spacing w:line="280" w:lineRule="exact"/>
              <w:rPr>
                <w:rFonts w:hint="eastAsia" w:ascii="华文楷体" w:hAnsi="华文楷体" w:eastAsia="华文楷体" w:cs="华文楷体"/>
                <w:color w:val="000000"/>
                <w:szCs w:val="21"/>
              </w:rPr>
            </w:pPr>
            <w:r>
              <w:rPr>
                <w:rFonts w:hint="eastAsia" w:ascii="华文楷体" w:hAnsi="华文楷体" w:eastAsia="华文楷体" w:cs="华文楷体"/>
                <w:color w:val="000000"/>
                <w:szCs w:val="21"/>
              </w:rPr>
              <w:t>目标及其实现的策划</w:t>
            </w:r>
          </w:p>
        </w:tc>
        <w:tc>
          <w:tcPr>
            <w:tcW w:w="960" w:type="dxa"/>
          </w:tcPr>
          <w:p>
            <w:pPr>
              <w:spacing w:line="280" w:lineRule="exact"/>
              <w:rPr>
                <w:rFonts w:hint="eastAsia" w:ascii="华文楷体" w:hAnsi="华文楷体" w:eastAsia="华文楷体" w:cs="华文楷体"/>
                <w:color w:val="000000"/>
                <w:szCs w:val="21"/>
              </w:rPr>
            </w:pPr>
            <w:r>
              <w:rPr>
                <w:rFonts w:hint="eastAsia" w:ascii="华文楷体" w:hAnsi="华文楷体" w:eastAsia="华文楷体" w:cs="华文楷体"/>
                <w:color w:val="000000"/>
                <w:szCs w:val="21"/>
              </w:rPr>
              <w:t xml:space="preserve">6.2 </w:t>
            </w:r>
          </w:p>
        </w:tc>
        <w:tc>
          <w:tcPr>
            <w:tcW w:w="10004" w:type="dxa"/>
          </w:tcPr>
          <w:p>
            <w:pPr>
              <w:spacing w:line="280" w:lineRule="exact"/>
              <w:rPr>
                <w:rFonts w:hint="eastAsia" w:ascii="华文楷体" w:hAnsi="华文楷体" w:eastAsia="华文楷体" w:cs="华文楷体"/>
                <w:color w:val="000000"/>
                <w:szCs w:val="21"/>
              </w:rPr>
            </w:pPr>
            <w:r>
              <w:rPr>
                <w:rFonts w:hint="eastAsia" w:ascii="华文楷体" w:hAnsi="华文楷体" w:eastAsia="华文楷体" w:cs="华文楷体"/>
                <w:color w:val="000000"/>
                <w:szCs w:val="21"/>
              </w:rPr>
              <w:t>编制了《职业健康安全目标、指标和管理方案》、《质量/安全目标统计分析表》具体：</w:t>
            </w:r>
          </w:p>
          <w:p>
            <w:pPr>
              <w:spacing w:line="280" w:lineRule="exact"/>
              <w:rPr>
                <w:rFonts w:hint="eastAsia" w:ascii="华文楷体" w:hAnsi="华文楷体" w:eastAsia="华文楷体" w:cs="华文楷体"/>
                <w:color w:val="000000"/>
                <w:szCs w:val="21"/>
              </w:rPr>
            </w:pPr>
            <w:r>
              <w:rPr>
                <w:rFonts w:hint="eastAsia" w:ascii="华文楷体" w:hAnsi="华文楷体" w:eastAsia="华文楷体" w:cs="华文楷体"/>
                <w:color w:val="000000"/>
                <w:szCs w:val="21"/>
              </w:rPr>
              <w:t xml:space="preserve">“杜绝火灾事故杜绝职业病杜绝重大伤亡事故的发生”——查上述环境和职业健康安全目标基本与职业健康安全方针保持一致；可度量（如可行）或可进行绩效评价； 考虑：适用的要求；风险和机遇的评价结果；与员工和员工代表（如有员工代表）协商的结果；得到监视；予以沟通； </w:t>
            </w:r>
          </w:p>
          <w:p>
            <w:pPr>
              <w:spacing w:line="280" w:lineRule="exact"/>
              <w:rPr>
                <w:rFonts w:hint="eastAsia" w:ascii="华文楷体" w:hAnsi="华文楷体" w:eastAsia="华文楷体" w:cs="华文楷体"/>
                <w:color w:val="000000"/>
                <w:szCs w:val="21"/>
              </w:rPr>
            </w:pPr>
            <w:r>
              <w:rPr>
                <w:rFonts w:hint="eastAsia" w:ascii="华文楷体" w:hAnsi="华文楷体" w:eastAsia="华文楷体" w:cs="华文楷体"/>
                <w:color w:val="000000"/>
                <w:szCs w:val="21"/>
              </w:rPr>
              <w:t>另查目标指标方案中已经包含了：具体工作内容、需要资源财力、负责人、完成时间节点、包括用于监视的参数的结果评价方式、措施在其业务过程中的应用情况；</w:t>
            </w:r>
          </w:p>
          <w:p>
            <w:pPr>
              <w:spacing w:line="280" w:lineRule="exact"/>
              <w:rPr>
                <w:rFonts w:hint="eastAsia" w:ascii="华文楷体" w:hAnsi="华文楷体" w:eastAsia="华文楷体" w:cs="华文楷体"/>
                <w:color w:val="000000"/>
                <w:szCs w:val="21"/>
              </w:rPr>
            </w:pPr>
            <w:r>
              <w:rPr>
                <w:rFonts w:hint="eastAsia" w:ascii="华文楷体" w:hAnsi="华文楷体" w:eastAsia="华文楷体" w:cs="华文楷体"/>
                <w:color w:val="000000"/>
                <w:szCs w:val="21"/>
              </w:rPr>
              <w:t>查组织已经保持并保留职业健康安全目标和实现目标的计划的文件化信息；文件有编审批受控、更新日期202</w:t>
            </w:r>
            <w:r>
              <w:rPr>
                <w:rFonts w:hint="eastAsia" w:ascii="华文楷体" w:hAnsi="华文楷体" w:eastAsia="华文楷体" w:cs="华文楷体"/>
                <w:color w:val="000000"/>
                <w:szCs w:val="21"/>
                <w:lang w:val="en-US" w:eastAsia="zh-CN"/>
              </w:rPr>
              <w:t>1</w:t>
            </w:r>
            <w:r>
              <w:rPr>
                <w:rFonts w:hint="eastAsia" w:ascii="华文楷体" w:hAnsi="华文楷体" w:eastAsia="华文楷体" w:cs="华文楷体"/>
                <w:color w:val="000000"/>
                <w:szCs w:val="21"/>
              </w:rPr>
              <w:t xml:space="preserve">.5.16； </w:t>
            </w:r>
          </w:p>
          <w:p>
            <w:pPr>
              <w:spacing w:line="280" w:lineRule="exact"/>
              <w:rPr>
                <w:rFonts w:hint="eastAsia" w:ascii="华文楷体" w:hAnsi="华文楷体" w:eastAsia="华文楷体" w:cs="华文楷体"/>
                <w:color w:val="000000"/>
                <w:szCs w:val="21"/>
              </w:rPr>
            </w:pPr>
            <w:r>
              <w:rPr>
                <w:rFonts w:hint="eastAsia" w:ascii="华文楷体" w:hAnsi="华文楷体" w:eastAsia="华文楷体" w:cs="华文楷体"/>
                <w:color w:val="000000"/>
                <w:szCs w:val="21"/>
              </w:rPr>
              <w:t>查202</w:t>
            </w:r>
            <w:r>
              <w:rPr>
                <w:rFonts w:hint="eastAsia" w:ascii="华文楷体" w:hAnsi="华文楷体" w:eastAsia="华文楷体" w:cs="华文楷体"/>
                <w:color w:val="000000"/>
                <w:szCs w:val="21"/>
                <w:lang w:val="en-US" w:eastAsia="zh-CN"/>
              </w:rPr>
              <w:t>1</w:t>
            </w:r>
            <w:r>
              <w:rPr>
                <w:rFonts w:hint="eastAsia" w:ascii="华文楷体" w:hAnsi="华文楷体" w:eastAsia="华文楷体" w:cs="华文楷体"/>
                <w:color w:val="000000"/>
                <w:szCs w:val="21"/>
              </w:rPr>
              <w:t>年以来目标指标已经达成；</w:t>
            </w:r>
          </w:p>
        </w:tc>
        <w:tc>
          <w:tcPr>
            <w:tcW w:w="1585" w:type="dxa"/>
          </w:tcPr>
          <w:p>
            <w:pPr>
              <w:rPr>
                <w:rFonts w:hint="eastAsia" w:ascii="华文楷体" w:hAnsi="华文楷体" w:eastAsia="华文楷体" w:cs="华文楷体"/>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0" w:type="dxa"/>
          </w:tcPr>
          <w:p>
            <w:pPr>
              <w:spacing w:line="280" w:lineRule="exact"/>
              <w:rPr>
                <w:rFonts w:hint="eastAsia" w:ascii="华文楷体" w:hAnsi="华文楷体" w:eastAsia="华文楷体" w:cs="华文楷体"/>
              </w:rPr>
            </w:pPr>
            <w:r>
              <w:rPr>
                <w:rFonts w:hint="eastAsia" w:ascii="华文楷体" w:hAnsi="华文楷体" w:eastAsia="华文楷体" w:cs="华文楷体"/>
                <w:szCs w:val="21"/>
              </w:rPr>
              <w:t>危险源辨识与评价</w:t>
            </w:r>
          </w:p>
        </w:tc>
        <w:tc>
          <w:tcPr>
            <w:tcW w:w="960" w:type="dxa"/>
          </w:tcPr>
          <w:p>
            <w:pPr>
              <w:spacing w:line="280" w:lineRule="exact"/>
              <w:rPr>
                <w:rFonts w:hint="eastAsia" w:ascii="华文楷体" w:hAnsi="华文楷体" w:eastAsia="华文楷体" w:cs="华文楷体"/>
              </w:rPr>
            </w:pPr>
            <w:r>
              <w:rPr>
                <w:rFonts w:hint="eastAsia" w:ascii="华文楷体" w:hAnsi="华文楷体" w:eastAsia="华文楷体" w:cs="华文楷体"/>
                <w:szCs w:val="21"/>
              </w:rPr>
              <w:t>6.1.2</w:t>
            </w:r>
          </w:p>
        </w:tc>
        <w:tc>
          <w:tcPr>
            <w:tcW w:w="10004" w:type="dxa"/>
          </w:tcPr>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编制了《危险源辨识评价一览表》</w:t>
            </w:r>
          </w:p>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识别的危险源“15”项、包括“电器老化漏电、电脑辐射、</w:t>
            </w:r>
            <w:r>
              <w:rPr>
                <w:rFonts w:hint="eastAsia" w:ascii="华文楷体" w:hAnsi="华文楷体" w:eastAsia="华文楷体" w:cs="华文楷体"/>
                <w:color w:val="000000"/>
                <w:kern w:val="0"/>
                <w:sz w:val="24"/>
                <w:szCs w:val="24"/>
              </w:rPr>
              <w:t>噪声、</w:t>
            </w:r>
            <w:r>
              <w:rPr>
                <w:rFonts w:hint="eastAsia" w:ascii="华文楷体" w:hAnsi="华文楷体" w:eastAsia="华文楷体" w:cs="华文楷体"/>
                <w:color w:val="000000"/>
                <w:kern w:val="0"/>
                <w:szCs w:val="21"/>
              </w:rPr>
              <w:t>上下班途中交通不安全因素</w:t>
            </w:r>
            <w:r>
              <w:rPr>
                <w:rFonts w:hint="eastAsia" w:ascii="华文楷体" w:hAnsi="华文楷体" w:eastAsia="华文楷体" w:cs="华文楷体"/>
                <w:szCs w:val="21"/>
              </w:rPr>
              <w:t>”等——查基本没有遗漏；</w:t>
            </w:r>
          </w:p>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对上述识别的危险源确定了相应的危害内容（火灾、触电等）；</w:t>
            </w:r>
          </w:p>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采用LECD评价法、评价出的不可接受风险“1”项、具体为“火灾”、查评价基本准确；</w:t>
            </w:r>
          </w:p>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控制措施包括“个人防护、培训教育、检查消除”等；</w:t>
            </w:r>
          </w:p>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文件有编审批更新日期“202</w:t>
            </w:r>
            <w:r>
              <w:rPr>
                <w:rFonts w:hint="eastAsia" w:ascii="华文楷体" w:hAnsi="华文楷体" w:eastAsia="华文楷体" w:cs="华文楷体"/>
                <w:szCs w:val="21"/>
                <w:lang w:val="en-US" w:eastAsia="zh-CN"/>
              </w:rPr>
              <w:t>1</w:t>
            </w:r>
            <w:r>
              <w:rPr>
                <w:rFonts w:hint="eastAsia" w:ascii="华文楷体" w:hAnsi="华文楷体" w:eastAsia="华文楷体" w:cs="华文楷体"/>
                <w:szCs w:val="21"/>
              </w:rPr>
              <w:t>.5.16”；</w:t>
            </w:r>
          </w:p>
          <w:p>
            <w:pPr>
              <w:spacing w:line="280" w:lineRule="exact"/>
              <w:rPr>
                <w:rFonts w:hint="eastAsia" w:ascii="华文楷体" w:hAnsi="华文楷体" w:eastAsia="华文楷体" w:cs="华文楷体"/>
              </w:rPr>
            </w:pPr>
            <w:r>
              <w:rPr>
                <w:rFonts w:hint="eastAsia" w:ascii="华文楷体" w:hAnsi="华文楷体" w:eastAsia="华文楷体" w:cs="华文楷体"/>
                <w:szCs w:val="21"/>
              </w:rPr>
              <w:t xml:space="preserve"> </w:t>
            </w:r>
          </w:p>
        </w:tc>
        <w:tc>
          <w:tcPr>
            <w:tcW w:w="1585" w:type="dxa"/>
          </w:tcPr>
          <w:p>
            <w:pPr>
              <w:rPr>
                <w:rFonts w:hint="eastAsia" w:ascii="华文楷体" w:hAnsi="华文楷体" w:eastAsia="华文楷体" w:cs="华文楷体"/>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运行策划和控制</w:t>
            </w:r>
          </w:p>
        </w:tc>
        <w:tc>
          <w:tcPr>
            <w:tcW w:w="960" w:type="dxa"/>
          </w:tcPr>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8.1</w:t>
            </w:r>
          </w:p>
        </w:tc>
        <w:tc>
          <w:tcPr>
            <w:tcW w:w="10004" w:type="dxa"/>
          </w:tcPr>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1.现场查看办公区域，整洁、光线充足、室内空气良好、配置有空调，办公条件较好，办公设备安全状态良好，教育员工正确使用办公设备，现场用电基本规范，无乱拉线现象，防止火灾发生。 电。</w:t>
            </w:r>
          </w:p>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2.办公区域禁止吸烟，办公区域配备有效的干粉灭火器。</w:t>
            </w:r>
          </w:p>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 xml:space="preserve">3.工作时间平均每天不超过8小时； </w:t>
            </w:r>
          </w:p>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4.驾驶员要求遵守道路交通安全法规，不违章驾车，驾驶证和车辆定期年审，确保行车安全。</w:t>
            </w:r>
          </w:p>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 xml:space="preserve"> </w:t>
            </w:r>
          </w:p>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提供了《职业健康安全投入资金清单》（202</w:t>
            </w:r>
            <w:r>
              <w:rPr>
                <w:rFonts w:hint="eastAsia" w:ascii="华文楷体" w:hAnsi="华文楷体" w:eastAsia="华文楷体" w:cs="华文楷体"/>
                <w:szCs w:val="21"/>
                <w:lang w:val="en-US" w:eastAsia="zh-CN"/>
              </w:rPr>
              <w:t>1</w:t>
            </w:r>
            <w:r>
              <w:rPr>
                <w:rFonts w:hint="eastAsia" w:ascii="华文楷体" w:hAnsi="华文楷体" w:eastAsia="华文楷体" w:cs="华文楷体"/>
                <w:szCs w:val="21"/>
              </w:rPr>
              <w:t>年01 ~1</w:t>
            </w:r>
            <w:r>
              <w:rPr>
                <w:rFonts w:hint="eastAsia" w:ascii="华文楷体" w:hAnsi="华文楷体" w:eastAsia="华文楷体" w:cs="华文楷体"/>
                <w:szCs w:val="21"/>
                <w:lang w:val="en-US" w:eastAsia="zh-CN"/>
              </w:rPr>
              <w:t>2</w:t>
            </w:r>
            <w:r>
              <w:rPr>
                <w:rFonts w:hint="eastAsia" w:ascii="华文楷体" w:hAnsi="华文楷体" w:eastAsia="华文楷体" w:cs="华文楷体"/>
                <w:szCs w:val="21"/>
              </w:rPr>
              <w:t>月各项费用已支出情况）、包括消防器材购置费、</w:t>
            </w:r>
            <w:r>
              <w:rPr>
                <w:rFonts w:hint="eastAsia" w:ascii="华文楷体" w:hAnsi="华文楷体" w:eastAsia="华文楷体" w:cs="华文楷体"/>
              </w:rPr>
              <w:t>人员体检费用</w:t>
            </w:r>
            <w:r>
              <w:rPr>
                <w:rFonts w:hint="eastAsia" w:ascii="华文楷体" w:hAnsi="华文楷体" w:eastAsia="华文楷体" w:cs="华文楷体"/>
                <w:szCs w:val="21"/>
              </w:rPr>
              <w:t>、水电费等、费用金额</w:t>
            </w:r>
            <w:r>
              <w:rPr>
                <w:rFonts w:hint="eastAsia" w:ascii="华文楷体" w:hAnsi="华文楷体" w:eastAsia="华文楷体" w:cs="华文楷体"/>
                <w:szCs w:val="21"/>
                <w:lang w:val="en-US" w:eastAsia="zh-CN"/>
              </w:rPr>
              <w:t>1.6万</w:t>
            </w:r>
            <w:r>
              <w:rPr>
                <w:rFonts w:hint="eastAsia" w:ascii="华文楷体" w:hAnsi="华文楷体" w:eastAsia="华文楷体" w:cs="华文楷体"/>
                <w:szCs w:val="21"/>
              </w:rPr>
              <w:t>；</w:t>
            </w:r>
          </w:p>
        </w:tc>
        <w:tc>
          <w:tcPr>
            <w:tcW w:w="1585" w:type="dxa"/>
          </w:tcPr>
          <w:p>
            <w:pPr>
              <w:rPr>
                <w:rFonts w:hint="eastAsia" w:ascii="华文楷体" w:hAnsi="华文楷体" w:eastAsia="华文楷体" w:cs="华文楷体"/>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应急准备和响应</w:t>
            </w:r>
          </w:p>
        </w:tc>
        <w:tc>
          <w:tcPr>
            <w:tcW w:w="960" w:type="dxa"/>
          </w:tcPr>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8.2</w:t>
            </w:r>
          </w:p>
        </w:tc>
        <w:tc>
          <w:tcPr>
            <w:tcW w:w="10004" w:type="dxa"/>
          </w:tcPr>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参加了应急演练；</w:t>
            </w:r>
          </w:p>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参加了预案评审；</w:t>
            </w:r>
          </w:p>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详见行政部审核内容；</w:t>
            </w:r>
          </w:p>
        </w:tc>
        <w:tc>
          <w:tcPr>
            <w:tcW w:w="1585" w:type="dxa"/>
          </w:tcPr>
          <w:p>
            <w:pPr>
              <w:rPr>
                <w:rFonts w:hint="eastAsia" w:ascii="华文楷体" w:hAnsi="华文楷体" w:eastAsia="华文楷体" w:cs="华文楷体"/>
              </w:rPr>
            </w:pPr>
            <w:r>
              <w:rPr>
                <w:rFonts w:hint="eastAsia" w:ascii="华文楷体" w:hAnsi="华文楷体" w:eastAsia="华文楷体" w:cs="华文楷体"/>
                <w:lang w:val="en-US" w:eastAsia="zh-CN"/>
              </w:rPr>
              <w:t>符合</w:t>
            </w:r>
          </w:p>
        </w:tc>
      </w:tr>
    </w:tbl>
    <w:p>
      <w:bookmarkStart w:id="0" w:name="_GoBack"/>
      <w:bookmarkEnd w:id="0"/>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CC2259"/>
    <w:rsid w:val="09EC761B"/>
    <w:rsid w:val="0BF57DE5"/>
    <w:rsid w:val="1F0E1553"/>
    <w:rsid w:val="22EA6A9C"/>
    <w:rsid w:val="39986CE0"/>
    <w:rsid w:val="3B024248"/>
    <w:rsid w:val="3E8703A6"/>
    <w:rsid w:val="42B073CA"/>
    <w:rsid w:val="4719568A"/>
    <w:rsid w:val="5CD739AA"/>
    <w:rsid w:val="5CF51344"/>
    <w:rsid w:val="64413969"/>
    <w:rsid w:val="727F0ABA"/>
    <w:rsid w:val="7D1409A9"/>
    <w:rsid w:val="7F6741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after="120"/>
      <w:jc w:val="left"/>
    </w:pPr>
    <w:rPr>
      <w:rFonts w:ascii="Calibri" w:hAnsi="Calibri" w:cs="Calibri"/>
      <w:b/>
      <w:bCs/>
      <w:caps/>
      <w:sz w:val="20"/>
      <w:szCs w:val="20"/>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2022-01-14T02:16:29Z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