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0291-2020-2021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467"/>
        <w:gridCol w:w="1370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bookmarkStart w:id="1" w:name="组织名称"/>
            <w:r>
              <w:rPr>
                <w:sz w:val="18"/>
                <w:szCs w:val="18"/>
              </w:rPr>
              <w:t>江苏恩华药业股份有限公司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制剂工程设备部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双金属温度计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A06-03-001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(0-150)℃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=0.4℃，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标准铂电阻温度计   二等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2021.04.06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制剂工程设备部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风速传感器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A06-10-011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FTS34-CQYG-2011-W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皮托管（风速标准装置）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=2)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2021.04.06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制剂工程设备部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A06-04-038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100g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0.44mg，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1级电子天平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E2砝码：E2等级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2021.04.06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制剂工程设备部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酒精计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A06-06-002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(50-100)%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0.4%，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二等标准酒精计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2021.04.06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制剂工程设备部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数显卡尺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A06-06-003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(0-300)mm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2021.04.06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制剂工程设备部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A06-04-042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FA2204C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1.5mg，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F2等级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2021.04.06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制剂工程设备部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水分测定仪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A06-04-042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MB23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 =0.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001</w:t>
            </w:r>
            <w:r>
              <w:rPr>
                <w:rFonts w:hint="eastAsia"/>
                <w:sz w:val="18"/>
                <w:szCs w:val="18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E2砝码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2021.04.06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制剂工程设备部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涡街流量传感器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0405101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LUGB-2325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1.5级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临界流文丘利喷嘴气体流量标准装置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U=0.33%，k=2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2021.11.07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东莞市帝恩检测有限公司、徐州市质量技术监督综合检验检测中心检定/校准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宋体" w:hAnsi="宋体"/>
                <w:color w:val="0000FF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</w:t>
            </w:r>
            <w:r>
              <w:rPr>
                <w:color w:val="000000"/>
                <w:szCs w:val="21"/>
              </w:rPr>
              <w:t>2021年12月04日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color w:val="000000"/>
                <w:szCs w:val="21"/>
              </w:rPr>
              <w:t>12月0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color w:val="000000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bookmarkStart w:id="2" w:name="_GoBack"/>
            <w:bookmarkEnd w:id="2"/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3302000</wp:posOffset>
                  </wp:positionH>
                  <wp:positionV relativeFrom="paragraph">
                    <wp:posOffset>19685</wp:posOffset>
                  </wp:positionV>
                  <wp:extent cx="667385" cy="349250"/>
                  <wp:effectExtent l="0" t="0" r="5715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29210</wp:posOffset>
                  </wp:positionV>
                  <wp:extent cx="448945" cy="307975"/>
                  <wp:effectExtent l="0" t="0" r="8255" b="952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3079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C67140"/>
    <w:rsid w:val="61E54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2021-12-15T16:57:38Z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233A12B228B54ED58BDC573C18621E90</vt:lpwstr>
  </property>
</Properties>
</file>