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福建省泉州市裕园茶业有限公司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003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