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1258-2021-Q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河北恒讯达信息科技有限公司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河北恒讯达信息科技有限公司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河北省石家庄市桥西区裕华西路128号乐活大厦B座20层2009室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河北省石家庄市桥西区裕华西路128号乐活大厦B座20层2009室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李红红</w:t>
            </w:r>
            <w:bookmarkEnd w:id="10"/>
          </w:p>
        </w:tc>
        <w:tc>
          <w:tcPr>
            <w:tcW w:w="1313" w:type="dxa"/>
            <w:vAlign w:val="center"/>
          </w:tcPr>
          <w:p>
            <w:r>
              <w:rPr>
                <w:rFonts w:hint="eastAsia"/>
              </w:rPr>
              <w:t>电话.</w:t>
            </w:r>
          </w:p>
        </w:tc>
        <w:tc>
          <w:tcPr>
            <w:tcW w:w="2180" w:type="dxa"/>
            <w:vAlign w:val="center"/>
          </w:tcPr>
          <w:p>
            <w:bookmarkStart w:id="11" w:name="联系人电话"/>
            <w:r>
              <w:t>18503222083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魏永红</w:t>
            </w:r>
            <w:bookmarkEnd w:id="13"/>
          </w:p>
        </w:tc>
        <w:tc>
          <w:tcPr>
            <w:tcW w:w="1313" w:type="dxa"/>
            <w:vAlign w:val="center"/>
          </w:tcPr>
          <w:p>
            <w:r>
              <w:rPr>
                <w:rFonts w:hint="eastAsia"/>
              </w:rPr>
              <w:t>管理者代表</w:t>
            </w:r>
          </w:p>
        </w:tc>
        <w:tc>
          <w:tcPr>
            <w:tcW w:w="2180" w:type="dxa"/>
          </w:tcPr>
          <w:p>
            <w:bookmarkStart w:id="14" w:name="管理者代表"/>
            <w:r>
              <w:t>李红红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pacing w:line="400" w:lineRule="exact"/>
              <w:rPr>
                <w:rFonts w:hint="eastAsia"/>
                <w:b w:val="0"/>
                <w:bCs w:val="0"/>
                <w:sz w:val="21"/>
                <w:szCs w:val="21"/>
              </w:rPr>
            </w:pPr>
            <w:r>
              <w:rPr>
                <w:rFonts w:hint="eastAsia"/>
                <w:b w:val="0"/>
                <w:bCs w:val="0"/>
                <w:sz w:val="21"/>
                <w:szCs w:val="21"/>
              </w:rPr>
              <w:t>⑴网络安全等级保护测评：信息调研---方案设计、编制---现场测评---对方整改------复评---分析---编制报告。</w:t>
            </w:r>
          </w:p>
          <w:p>
            <w:r>
              <w:rPr>
                <w:rFonts w:hint="eastAsia"/>
                <w:b w:val="0"/>
                <w:bCs w:val="0"/>
                <w:sz w:val="21"/>
                <w:szCs w:val="21"/>
              </w:rPr>
              <w:t>⑵信息安全风险评估：信息调研---方案设计、编制（渗透方式）---渗透测试---分析评估---编制报告。</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926"/>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w:t>
            </w:r>
            <w:r>
              <w:rPr>
                <w:rFonts w:hint="eastAsia"/>
                <w:lang w:val="en-US" w:eastAsia="zh-CN"/>
              </w:rPr>
              <w:t>3</w:t>
            </w:r>
            <w:r>
              <w:rPr>
                <w:rFonts w:hint="eastAsia"/>
              </w:rPr>
              <w:t>日 上午至2021年12月1</w:t>
            </w:r>
            <w:r>
              <w:rPr>
                <w:rFonts w:hint="eastAsia"/>
                <w:lang w:val="en-US" w:eastAsia="zh-CN"/>
              </w:rPr>
              <w:t>4</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b w:val="0"/>
                <w:bCs w:val="0"/>
                <w:sz w:val="21"/>
                <w:szCs w:val="21"/>
              </w:rPr>
              <w:t>河北省石家庄市桥西区裕华西路128号乐活大厦B座20层2009室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06" w:type="dxa"/>
            <w:vMerge w:val="restart"/>
            <w:vAlign w:val="center"/>
          </w:tcPr>
          <w:p>
            <w:r>
              <w:rPr>
                <w:rFonts w:hint="eastAsia"/>
              </w:rPr>
              <w:t>审核范围</w:t>
            </w:r>
          </w:p>
        </w:tc>
        <w:tc>
          <w:tcPr>
            <w:tcW w:w="5542" w:type="dxa"/>
            <w:gridSpan w:val="3"/>
            <w:vMerge w:val="restart"/>
            <w:vAlign w:val="center"/>
          </w:tcPr>
          <w:p>
            <w:bookmarkStart w:id="29" w:name="审核范围"/>
            <w:r>
              <w:t>信息安全技术服务（包含网络安全等级保护测评、信息安全风险评估）</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06" w:type="dxa"/>
            <w:vMerge w:val="continue"/>
            <w:vAlign w:val="center"/>
          </w:tcPr>
          <w:p/>
        </w:tc>
        <w:tc>
          <w:tcPr>
            <w:tcW w:w="5542" w:type="dxa"/>
            <w:gridSpan w:val="3"/>
            <w:vMerge w:val="continue"/>
            <w:vAlign w:val="center"/>
          </w:tcPr>
          <w:p/>
        </w:tc>
        <w:tc>
          <w:tcPr>
            <w:tcW w:w="3215" w:type="dxa"/>
            <w:vAlign w:val="center"/>
          </w:tcPr>
          <w:p>
            <w:bookmarkStart w:id="30" w:name="专业代码"/>
            <w:r>
              <w:t>33.02.04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17"/>
        <w:gridCol w:w="1827"/>
        <w:gridCol w:w="655"/>
        <w:gridCol w:w="2136"/>
        <w:gridCol w:w="18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11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2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55"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136"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p>
        </w:tc>
        <w:tc>
          <w:tcPr>
            <w:tcW w:w="184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17" w:type="dxa"/>
          </w:tcPr>
          <w:p>
            <w:pPr>
              <w:spacing w:before="40" w:after="40"/>
              <w:rPr>
                <w:rFonts w:eastAsia="黑体"/>
                <w:szCs w:val="21"/>
                <w:lang w:val="de-DE" w:eastAsia="ja-JP"/>
              </w:rPr>
            </w:pPr>
            <w:r>
              <w:rPr>
                <w:rFonts w:ascii="宋体"/>
                <w:b/>
                <w:color w:val="000000"/>
                <w:szCs w:val="21"/>
              </w:rPr>
              <w:t>河北恒讯达信息科技有限公司</w:t>
            </w:r>
            <w:r>
              <w:rPr>
                <w:rFonts w:hint="eastAsia" w:ascii="宋体"/>
                <w:b/>
                <w:color w:val="000000"/>
                <w:szCs w:val="21"/>
                <w:lang w:val="en-US" w:eastAsia="zh-CN"/>
              </w:rPr>
              <w:t>/</w:t>
            </w:r>
            <w:r>
              <w:rPr>
                <w:b w:val="0"/>
                <w:bCs w:val="0"/>
                <w:sz w:val="21"/>
                <w:szCs w:val="21"/>
              </w:rPr>
              <w:t>河北省石家庄市桥西区裕华西路128号乐活大厦B座20层2009室</w:t>
            </w:r>
          </w:p>
        </w:tc>
        <w:tc>
          <w:tcPr>
            <w:tcW w:w="1827" w:type="dxa"/>
          </w:tcPr>
          <w:p>
            <w:pPr>
              <w:spacing w:before="40" w:after="40"/>
              <w:rPr>
                <w:rFonts w:eastAsia="黑体"/>
                <w:szCs w:val="21"/>
                <w:lang w:val="de-DE" w:eastAsia="ja-JP"/>
              </w:rPr>
            </w:pPr>
            <w:r>
              <w:rPr>
                <w:b w:val="0"/>
                <w:bCs w:val="0"/>
                <w:sz w:val="21"/>
                <w:szCs w:val="21"/>
              </w:rPr>
              <w:t>河北省石家庄市桥西区裕华西路128号乐活大厦B座20层2009室</w:t>
            </w:r>
          </w:p>
        </w:tc>
        <w:tc>
          <w:tcPr>
            <w:tcW w:w="655"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136" w:type="dxa"/>
            <w:vAlign w:val="center"/>
          </w:tcPr>
          <w:p>
            <w:pPr>
              <w:pStyle w:val="20"/>
              <w:rPr>
                <w:rFonts w:eastAsia="黑体" w:cs="Arial"/>
                <w:sz w:val="21"/>
                <w:szCs w:val="21"/>
                <w:lang w:val="en-US" w:eastAsia="ja-JP"/>
              </w:rPr>
            </w:pPr>
            <w:r>
              <w:rPr>
                <w:b w:val="0"/>
                <w:bCs w:val="0"/>
                <w:sz w:val="21"/>
                <w:szCs w:val="21"/>
              </w:rPr>
              <w:t>信息安全技术服务（包含网络安全等级保护测评、信息安全风险评估）</w:t>
            </w:r>
          </w:p>
        </w:tc>
        <w:tc>
          <w:tcPr>
            <w:tcW w:w="1842" w:type="dxa"/>
            <w:vAlign w:val="center"/>
          </w:tcPr>
          <w:p>
            <w:pPr>
              <w:spacing w:before="40" w:after="40"/>
              <w:rPr>
                <w:rFonts w:hint="default" w:eastAsia="黑体"/>
                <w:szCs w:val="21"/>
                <w:lang w:val="en-US" w:eastAsia="zh-CN"/>
              </w:rPr>
            </w:pPr>
            <w:r>
              <w:rPr>
                <w:rFonts w:hint="eastAsia" w:eastAsia="黑体"/>
                <w:szCs w:val="21"/>
                <w:lang w:val="en-US" w:eastAsia="zh-CN"/>
              </w:rPr>
              <w:t>GB/T 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117" w:type="dxa"/>
            <w:vAlign w:val="center"/>
          </w:tcPr>
          <w:p>
            <w:pPr>
              <w:spacing w:before="40" w:after="40"/>
              <w:rPr>
                <w:rFonts w:eastAsia="黑体"/>
                <w:szCs w:val="21"/>
                <w:lang w:eastAsia="ja-JP"/>
              </w:rPr>
            </w:pPr>
          </w:p>
        </w:tc>
        <w:tc>
          <w:tcPr>
            <w:tcW w:w="1827" w:type="dxa"/>
            <w:vAlign w:val="center"/>
          </w:tcPr>
          <w:p>
            <w:pPr>
              <w:spacing w:before="40" w:after="40"/>
              <w:rPr>
                <w:rFonts w:eastAsia="黑体"/>
                <w:szCs w:val="21"/>
                <w:lang w:eastAsia="ja-JP"/>
              </w:rPr>
            </w:pPr>
          </w:p>
        </w:tc>
        <w:tc>
          <w:tcPr>
            <w:tcW w:w="655" w:type="dxa"/>
            <w:vAlign w:val="center"/>
          </w:tcPr>
          <w:p>
            <w:pPr>
              <w:spacing w:before="40" w:after="40"/>
              <w:rPr>
                <w:rFonts w:eastAsia="黑体"/>
                <w:szCs w:val="21"/>
                <w:lang w:eastAsia="ja-JP"/>
              </w:rPr>
            </w:pPr>
          </w:p>
        </w:tc>
        <w:tc>
          <w:tcPr>
            <w:tcW w:w="2136" w:type="dxa"/>
            <w:vAlign w:val="center"/>
          </w:tcPr>
          <w:p>
            <w:pPr>
              <w:spacing w:before="40" w:after="40"/>
              <w:rPr>
                <w:rFonts w:eastAsia="黑体"/>
                <w:szCs w:val="21"/>
                <w:lang w:eastAsia="ja-JP"/>
              </w:rPr>
            </w:pPr>
          </w:p>
        </w:tc>
        <w:tc>
          <w:tcPr>
            <w:tcW w:w="1842"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117" w:type="dxa"/>
            <w:vAlign w:val="center"/>
          </w:tcPr>
          <w:p>
            <w:pPr>
              <w:spacing w:before="40" w:after="40"/>
              <w:rPr>
                <w:rFonts w:eastAsia="黑体"/>
                <w:szCs w:val="21"/>
                <w:lang w:eastAsia="ja-JP"/>
              </w:rPr>
            </w:pPr>
          </w:p>
        </w:tc>
        <w:tc>
          <w:tcPr>
            <w:tcW w:w="1827" w:type="dxa"/>
            <w:vAlign w:val="center"/>
          </w:tcPr>
          <w:p>
            <w:pPr>
              <w:spacing w:before="40" w:after="40"/>
              <w:rPr>
                <w:rFonts w:eastAsia="黑体"/>
                <w:szCs w:val="21"/>
                <w:lang w:eastAsia="ja-JP"/>
              </w:rPr>
            </w:pPr>
          </w:p>
        </w:tc>
        <w:tc>
          <w:tcPr>
            <w:tcW w:w="655" w:type="dxa"/>
            <w:vAlign w:val="center"/>
          </w:tcPr>
          <w:p>
            <w:pPr>
              <w:spacing w:before="40" w:after="40"/>
              <w:rPr>
                <w:rFonts w:eastAsia="黑体"/>
                <w:szCs w:val="21"/>
                <w:lang w:eastAsia="ja-JP"/>
              </w:rPr>
            </w:pPr>
          </w:p>
        </w:tc>
        <w:tc>
          <w:tcPr>
            <w:tcW w:w="2136" w:type="dxa"/>
            <w:vAlign w:val="center"/>
          </w:tcPr>
          <w:p>
            <w:pPr>
              <w:spacing w:before="40" w:after="40"/>
              <w:rPr>
                <w:rFonts w:eastAsia="黑体"/>
                <w:szCs w:val="21"/>
                <w:lang w:eastAsia="ja-JP"/>
              </w:rPr>
            </w:pPr>
          </w:p>
        </w:tc>
        <w:tc>
          <w:tcPr>
            <w:tcW w:w="1842"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117" w:type="dxa"/>
            <w:vAlign w:val="center"/>
          </w:tcPr>
          <w:p>
            <w:pPr>
              <w:spacing w:before="40" w:after="40"/>
              <w:rPr>
                <w:rFonts w:eastAsia="黑体"/>
                <w:szCs w:val="21"/>
                <w:lang w:eastAsia="ja-JP"/>
              </w:rPr>
            </w:pPr>
          </w:p>
        </w:tc>
        <w:tc>
          <w:tcPr>
            <w:tcW w:w="1827" w:type="dxa"/>
            <w:vAlign w:val="center"/>
          </w:tcPr>
          <w:p>
            <w:pPr>
              <w:spacing w:before="40" w:after="40"/>
              <w:rPr>
                <w:rFonts w:eastAsia="黑体"/>
                <w:szCs w:val="21"/>
                <w:lang w:eastAsia="ja-JP"/>
              </w:rPr>
            </w:pPr>
          </w:p>
        </w:tc>
        <w:tc>
          <w:tcPr>
            <w:tcW w:w="655" w:type="dxa"/>
            <w:vAlign w:val="center"/>
          </w:tcPr>
          <w:p>
            <w:pPr>
              <w:spacing w:before="40" w:after="40"/>
              <w:rPr>
                <w:rFonts w:eastAsia="黑体"/>
                <w:szCs w:val="21"/>
                <w:lang w:eastAsia="ja-JP"/>
              </w:rPr>
            </w:pPr>
          </w:p>
        </w:tc>
        <w:tc>
          <w:tcPr>
            <w:tcW w:w="2136" w:type="dxa"/>
            <w:vAlign w:val="center"/>
          </w:tcPr>
          <w:p>
            <w:pPr>
              <w:spacing w:before="40" w:after="40"/>
              <w:rPr>
                <w:rFonts w:eastAsia="黑体"/>
                <w:szCs w:val="21"/>
                <w:lang w:eastAsia="ja-JP"/>
              </w:rPr>
            </w:pPr>
          </w:p>
        </w:tc>
        <w:tc>
          <w:tcPr>
            <w:tcW w:w="1842"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117" w:type="dxa"/>
            <w:vAlign w:val="center"/>
          </w:tcPr>
          <w:p>
            <w:pPr>
              <w:spacing w:before="40" w:after="40"/>
              <w:rPr>
                <w:rFonts w:eastAsia="黑体"/>
                <w:szCs w:val="21"/>
                <w:lang w:eastAsia="ja-JP"/>
              </w:rPr>
            </w:pPr>
          </w:p>
        </w:tc>
        <w:tc>
          <w:tcPr>
            <w:tcW w:w="1827" w:type="dxa"/>
            <w:vAlign w:val="center"/>
          </w:tcPr>
          <w:p>
            <w:pPr>
              <w:spacing w:before="40" w:after="40"/>
              <w:rPr>
                <w:rFonts w:eastAsia="黑体"/>
                <w:szCs w:val="21"/>
                <w:lang w:eastAsia="ja-JP"/>
              </w:rPr>
            </w:pPr>
          </w:p>
        </w:tc>
        <w:tc>
          <w:tcPr>
            <w:tcW w:w="655" w:type="dxa"/>
            <w:vAlign w:val="center"/>
          </w:tcPr>
          <w:p>
            <w:pPr>
              <w:spacing w:before="40" w:after="40"/>
              <w:rPr>
                <w:rFonts w:eastAsia="黑体"/>
                <w:szCs w:val="21"/>
                <w:lang w:eastAsia="ja-JP"/>
              </w:rPr>
            </w:pPr>
          </w:p>
        </w:tc>
        <w:tc>
          <w:tcPr>
            <w:tcW w:w="2136" w:type="dxa"/>
            <w:vAlign w:val="center"/>
          </w:tcPr>
          <w:p>
            <w:pPr>
              <w:spacing w:before="40" w:after="40"/>
              <w:rPr>
                <w:rFonts w:eastAsia="黑体"/>
                <w:szCs w:val="21"/>
                <w:lang w:eastAsia="ja-JP"/>
              </w:rPr>
            </w:pPr>
          </w:p>
        </w:tc>
        <w:tc>
          <w:tcPr>
            <w:tcW w:w="1842"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r>
              <w:t>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2020-N0QMS-1215052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u w:val="single"/>
                <w:lang w:val="en-GB" w:eastAsia="zh-CN"/>
              </w:rPr>
              <w:drawing>
                <wp:anchor distT="0" distB="0" distL="114300" distR="114300" simplePos="0" relativeHeight="251662336" behindDoc="0" locked="0" layoutInCell="1" allowOverlap="1">
                  <wp:simplePos x="0" y="0"/>
                  <wp:positionH relativeFrom="column">
                    <wp:posOffset>-6350</wp:posOffset>
                  </wp:positionH>
                  <wp:positionV relativeFrom="paragraph">
                    <wp:posOffset>204470</wp:posOffset>
                  </wp:positionV>
                  <wp:extent cx="932180" cy="4489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32180" cy="448945"/>
                          </a:xfrm>
                          <a:prstGeom prst="rect">
                            <a:avLst/>
                          </a:prstGeom>
                          <a:noFill/>
                          <a:ln>
                            <a:noFill/>
                          </a:ln>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2021年12月14日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宋体" w:hAnsi="宋体"/>
                <w:b/>
              </w:rPr>
              <w:t>客观公正     方法科学     结果准确    服务最优</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测评部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default" w:ascii="Times New Roman" w:hAnsi="Times New Roman" w:eastAsia="宋体" w:cs="Times New Roman"/>
                      <w:szCs w:val="21"/>
                    </w:rPr>
                    <w:t>检查技术保障能力</w:t>
                  </w:r>
                </w:p>
              </w:tc>
              <w:tc>
                <w:tcPr>
                  <w:tcW w:w="3965" w:type="dxa"/>
                </w:tcPr>
                <w:p>
                  <w:pPr>
                    <w:shd w:val="clear" w:color="auto" w:fill="C7DAF1" w:themeFill="text2" w:themeFillTint="32"/>
                  </w:pPr>
                  <w:r>
                    <w:rPr>
                      <w:rFonts w:hint="default" w:ascii="Times New Roman" w:hAnsi="Times New Roman" w:eastAsia="宋体" w:cs="Times New Roman"/>
                      <w:szCs w:val="21"/>
                    </w:rPr>
                    <w:t>制定设备管理制度，定期进行外部校准，保养保护检测设备</w:t>
                  </w:r>
                </w:p>
              </w:tc>
              <w:tc>
                <w:tcPr>
                  <w:tcW w:w="1717" w:type="dxa"/>
                </w:tcPr>
                <w:p>
                  <w:pPr>
                    <w:shd w:val="clear" w:color="auto" w:fill="C7DAF1" w:themeFill="text2" w:themeFillTint="32"/>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default" w:ascii="Times New Roman" w:hAnsi="Times New Roman" w:eastAsia="宋体" w:cs="Times New Roman"/>
                      <w:szCs w:val="21"/>
                    </w:rPr>
                    <w:t>市场价格竞争（市场推广、投标等）</w:t>
                  </w:r>
                </w:p>
              </w:tc>
              <w:tc>
                <w:tcPr>
                  <w:tcW w:w="3965" w:type="dxa"/>
                </w:tcPr>
                <w:p>
                  <w:pPr>
                    <w:shd w:val="clear" w:color="auto" w:fill="C7DAF1" w:themeFill="text2" w:themeFillTint="32"/>
                  </w:pPr>
                  <w:r>
                    <w:rPr>
                      <w:rFonts w:hint="default" w:ascii="Times New Roman" w:hAnsi="Times New Roman" w:eastAsia="宋体" w:cs="Times New Roman"/>
                      <w:szCs w:val="21"/>
                    </w:rPr>
                    <w:t>在保障公司利益的前提下，尽可能提高产品性价比和制定较为可行的产品价格，以及更好的投标项目，趋于寻找利润更大的产品适用行业</w:t>
                  </w:r>
                </w:p>
              </w:tc>
              <w:tc>
                <w:tcPr>
                  <w:tcW w:w="1717" w:type="dxa"/>
                </w:tcPr>
                <w:p>
                  <w:pPr>
                    <w:shd w:val="clear" w:color="auto" w:fill="C7DAF1" w:themeFill="text2" w:themeFillTint="32"/>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default" w:ascii="Times New Roman" w:hAnsi="Times New Roman" w:eastAsia="宋体" w:cs="Times New Roman"/>
                      <w:szCs w:val="21"/>
                    </w:rPr>
                    <w:t>人员流失对于客户信息的泄露</w:t>
                  </w:r>
                </w:p>
              </w:tc>
              <w:tc>
                <w:tcPr>
                  <w:tcW w:w="3965" w:type="dxa"/>
                </w:tcPr>
                <w:p>
                  <w:pPr>
                    <w:shd w:val="clear" w:color="auto" w:fill="C7DAF1" w:themeFill="text2" w:themeFillTint="32"/>
                  </w:pPr>
                  <w:r>
                    <w:rPr>
                      <w:rFonts w:hint="default" w:ascii="Times New Roman" w:hAnsi="Times New Roman" w:eastAsia="宋体" w:cs="Times New Roman"/>
                      <w:szCs w:val="21"/>
                    </w:rPr>
                    <w:t>登记和统计客户信息，对于离职人员的工作交接和客户回访进行规定和要求。保证客户的不丢失</w:t>
                  </w:r>
                </w:p>
              </w:tc>
              <w:tc>
                <w:tcPr>
                  <w:tcW w:w="1717" w:type="dxa"/>
                </w:tcPr>
                <w:p>
                  <w:pPr>
                    <w:shd w:val="clear" w:color="auto" w:fill="C7DAF1" w:themeFill="text2" w:themeFillTint="32"/>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防疫要求</w:t>
                  </w:r>
                </w:p>
              </w:tc>
              <w:tc>
                <w:tcPr>
                  <w:tcW w:w="3965" w:type="dxa"/>
                </w:tcPr>
                <w:p>
                  <w:pPr>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制定疫情疾病的重大应急预案，</w:t>
                  </w:r>
                </w:p>
                <w:p>
                  <w:pPr>
                    <w:shd w:val="clear" w:color="auto" w:fill="C7DAF1" w:themeFill="text2" w:themeFillTint="32"/>
                  </w:pPr>
                  <w:r>
                    <w:rPr>
                      <w:rFonts w:hint="default" w:ascii="Times New Roman" w:hAnsi="Times New Roman" w:eastAsia="宋体" w:cs="Times New Roman"/>
                      <w:lang w:val="en-US" w:eastAsia="zh-CN"/>
                    </w:rPr>
                    <w:t>购置防护物资进行人员发放和佩戴检查；对外地人员归来进行先期自我隔离；发现疑似病例及时报告指定单位进行处理</w:t>
                  </w:r>
                </w:p>
              </w:tc>
              <w:tc>
                <w:tcPr>
                  <w:tcW w:w="1717" w:type="dxa"/>
                </w:tcPr>
                <w:p>
                  <w:pPr>
                    <w:shd w:val="clear" w:color="auto" w:fill="C7DAF1" w:themeFill="text2" w:themeFillTint="32"/>
                    <w:rPr>
                      <w:rFonts w:hint="eastAsia" w:eastAsia="宋体"/>
                      <w:lang w:val="en-US" w:eastAsia="zh-CN"/>
                    </w:rPr>
                  </w:pPr>
                  <w:r>
                    <w:rPr>
                      <w:rFonts w:hint="eastAsia"/>
                      <w:lang w:val="en-US" w:eastAsia="zh-CN"/>
                    </w:rPr>
                    <w:t>良好</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956"/>
              <w:gridCol w:w="349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089" w:type="dxa"/>
                </w:tcPr>
                <w:p>
                  <w:pPr>
                    <w:widowControl/>
                    <w:spacing w:before="40"/>
                    <w:jc w:val="left"/>
                    <w:rPr>
                      <w:color w:val="000000"/>
                      <w:szCs w:val="18"/>
                    </w:rPr>
                  </w:pPr>
                  <w:r>
                    <w:rPr>
                      <w:rFonts w:hint="eastAsia"/>
                      <w:color w:val="000000"/>
                      <w:szCs w:val="18"/>
                    </w:rPr>
                    <w:t>考核频次</w:t>
                  </w:r>
                </w:p>
              </w:tc>
              <w:tc>
                <w:tcPr>
                  <w:tcW w:w="3975" w:type="dxa"/>
                </w:tcPr>
                <w:p>
                  <w:pPr>
                    <w:widowControl/>
                    <w:spacing w:before="40"/>
                    <w:jc w:val="left"/>
                    <w:rPr>
                      <w:color w:val="000000"/>
                      <w:szCs w:val="18"/>
                    </w:rPr>
                  </w:pPr>
                  <w:r>
                    <w:rPr>
                      <w:rFonts w:hint="eastAsia"/>
                      <w:color w:val="000000"/>
                      <w:szCs w:val="18"/>
                    </w:rPr>
                    <w:t>计算方法</w:t>
                  </w:r>
                </w:p>
              </w:tc>
              <w:tc>
                <w:tcPr>
                  <w:tcW w:w="2266"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kern w:val="1"/>
                      <w:sz w:val="18"/>
                      <w:szCs w:val="18"/>
                    </w:rPr>
                    <w:t>文件受控率100%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kern w:val="1"/>
                      <w:sz w:val="18"/>
                      <w:szCs w:val="18"/>
                    </w:rPr>
                    <w:t>受控文件数÷总文件数*100</w:t>
                  </w:r>
                </w:p>
              </w:tc>
              <w:tc>
                <w:tcPr>
                  <w:tcW w:w="2266"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kern w:val="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kern w:val="1"/>
                      <w:sz w:val="18"/>
                      <w:szCs w:val="18"/>
                    </w:rPr>
                    <w:t>培训计划执行率100%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kern w:val="1"/>
                      <w:sz w:val="18"/>
                      <w:szCs w:val="18"/>
                    </w:rPr>
                    <w:t>培训计划执行数÷总策划数*100</w:t>
                  </w:r>
                </w:p>
              </w:tc>
              <w:tc>
                <w:tcPr>
                  <w:tcW w:w="2266"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bCs/>
                      <w:kern w:val="1"/>
                      <w:sz w:val="18"/>
                      <w:szCs w:val="18"/>
                    </w:rPr>
                    <w:t>测评人员持证上岗率100%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bCs/>
                      <w:kern w:val="1"/>
                      <w:sz w:val="18"/>
                      <w:szCs w:val="18"/>
                    </w:rPr>
                    <w:t>测评人员持证上岗人员÷总测评人员*100</w:t>
                  </w:r>
                </w:p>
              </w:tc>
              <w:tc>
                <w:tcPr>
                  <w:tcW w:w="2266" w:type="dxa"/>
                  <w:vAlign w:val="top"/>
                </w:tcPr>
                <w:p>
                  <w:pPr>
                    <w:rPr>
                      <w:rFonts w:hint="default" w:ascii="Times New Roman" w:hAnsi="Times New Roman" w:eastAsia="宋体" w:cs="Times New Roman"/>
                      <w:bCs/>
                      <w:kern w:val="1"/>
                      <w:sz w:val="21"/>
                      <w:szCs w:val="21"/>
                      <w:lang w:val="en-US" w:eastAsia="zh-CN" w:bidi="ar-SA"/>
                    </w:rPr>
                  </w:pPr>
                  <w:r>
                    <w:rPr>
                      <w:rFonts w:hint="default" w:ascii="Times New Roman" w:hAnsi="Times New Roman"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tabs>
                      <w:tab w:val="left" w:pos="840"/>
                    </w:tabs>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测评数据差错率＜0.5%</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差错测评数据数目÷总测评数据数目*100</w:t>
                  </w:r>
                </w:p>
              </w:tc>
              <w:tc>
                <w:tcPr>
                  <w:tcW w:w="2266"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bCs/>
                      <w:kern w:val="1"/>
                      <w:sz w:val="18"/>
                      <w:szCs w:val="18"/>
                    </w:rPr>
                    <w:t>终测测评报告出具时间符合规定要求率100%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spacing w:line="360" w:lineRule="auto"/>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bCs/>
                      <w:kern w:val="1"/>
                      <w:sz w:val="18"/>
                      <w:szCs w:val="18"/>
                    </w:rPr>
                    <w:t>季度内终测报告出具时间符合规定要求数目</w:t>
                  </w:r>
                  <w:r>
                    <w:rPr>
                      <w:rFonts w:hint="default" w:ascii="Times New Roman" w:hAnsi="Times New Roman" w:eastAsia="宋体" w:cs="Times New Roman"/>
                      <w:sz w:val="18"/>
                      <w:szCs w:val="18"/>
                    </w:rPr>
                    <w:t>÷季度内总终测报告数目</w:t>
                  </w:r>
                  <w:r>
                    <w:rPr>
                      <w:rFonts w:hint="default" w:ascii="Times New Roman" w:hAnsi="Times New Roman" w:eastAsia="宋体" w:cs="Times New Roman"/>
                      <w:bCs/>
                      <w:kern w:val="1"/>
                      <w:sz w:val="18"/>
                      <w:szCs w:val="18"/>
                    </w:rPr>
                    <w:t>*100</w:t>
                  </w:r>
                </w:p>
              </w:tc>
              <w:tc>
                <w:tcPr>
                  <w:tcW w:w="2266" w:type="dxa"/>
                  <w:vAlign w:val="top"/>
                </w:tcPr>
                <w:p>
                  <w:pPr>
                    <w:rPr>
                      <w:rFonts w:hint="default" w:ascii="Times New Roman" w:hAnsi="Times New Roman" w:eastAsia="宋体" w:cs="Times New Roman"/>
                      <w:bCs/>
                      <w:kern w:val="1"/>
                      <w:sz w:val="21"/>
                      <w:szCs w:val="21"/>
                      <w:lang w:val="en-US" w:eastAsia="zh-CN" w:bidi="ar-SA"/>
                    </w:rPr>
                  </w:pPr>
                  <w:r>
                    <w:rPr>
                      <w:rFonts w:hint="default" w:ascii="Times New Roman" w:hAnsi="Times New Roman"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kern w:val="1"/>
                      <w:sz w:val="18"/>
                      <w:szCs w:val="18"/>
                    </w:rPr>
                    <w:t>顾客满意度≥95%；</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pict>
                      <v:line id="_x0000_s1026" o:spid="_x0000_s1026" o:spt="20" style="position:absolute;left:0pt;margin-left:6.25pt;margin-top:23.4pt;height:0pt;width:148.7pt;z-index:251663360;mso-width-relative:page;mso-height-relative:page;" filled="f" stroked="t" coordsize="21600,21600" o:gfxdata="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xy7ItYAAAAJAQAADwAA&#10;AAAAAAABACAAAAAiAAAAZHJzL2Rvd25yZXYueG1sUEsBAhQAFAAAAAgAh07iQEDtl0rfAQAAzwMA&#10;AA4AAAAAAAAAAQAgAAAAJQEAAGRycy9lMm9Eb2MueG1sUEsFBgAAAAAGAAYAWQEAAHYFAAAAAA==&#10;">
                        <v:path arrowok="t"/>
                        <v:fill on="f" focussize="0,0"/>
                        <v:stroke color="#000000" joinstyle="round"/>
                        <v:imagedata o:title=""/>
                        <o:lock v:ext="edit" aspectratio="f"/>
                      </v:line>
                    </w:pict>
                  </w:r>
                  <w:r>
                    <w:rPr>
                      <w:rFonts w:hint="default" w:ascii="Times New Roman" w:hAnsi="Times New Roman" w:eastAsia="宋体" w:cs="Times New Roman"/>
                      <w:bCs/>
                      <w:kern w:val="1"/>
                      <w:sz w:val="18"/>
                      <w:szCs w:val="18"/>
                    </w:rPr>
                    <w:t xml:space="preserve">   </w:t>
                  </w:r>
                  <w:r>
                    <w:rPr>
                      <w:rFonts w:hint="default" w:ascii="Times New Roman" w:hAnsi="Times New Roman" w:eastAsia="宋体" w:cs="Times New Roman"/>
                      <w:bCs/>
                      <w:kern w:val="1"/>
                      <w:szCs w:val="21"/>
                    </w:rPr>
                    <w:t xml:space="preserve">   </w:t>
                  </w:r>
                  <w:r>
                    <w:rPr>
                      <w:rFonts w:hint="default" w:ascii="Times New Roman" w:hAnsi="Times New Roman" w:eastAsia="宋体" w:cs="Times New Roman"/>
                      <w:sz w:val="18"/>
                      <w:szCs w:val="18"/>
                    </w:rPr>
                    <w:t>顾客满意度(N1+N2+……Nn)</w:t>
                  </w:r>
                </w:p>
                <w:p>
                  <w:pPr>
                    <w:spacing w:line="360" w:lineRule="auto"/>
                    <w:ind w:firstLine="1080" w:firstLineChars="60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 xml:space="preserve">      n                </w:t>
                  </w:r>
                </w:p>
              </w:tc>
              <w:tc>
                <w:tcPr>
                  <w:tcW w:w="2266"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sz w:val="18"/>
                      <w:szCs w:val="18"/>
                    </w:rPr>
                    <w:t>处理顾客反馈信息率100%。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spacing w:line="360" w:lineRule="auto"/>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sz w:val="18"/>
                      <w:szCs w:val="18"/>
                    </w:rPr>
                    <w:t>处理顾客信息的项目÷顾客反馈的总项目数*100</w:t>
                  </w:r>
                </w:p>
              </w:tc>
              <w:tc>
                <w:tcPr>
                  <w:tcW w:w="2266" w:type="dxa"/>
                  <w:vAlign w:val="top"/>
                </w:tcPr>
                <w:p>
                  <w:pPr>
                    <w:rPr>
                      <w:rFonts w:hint="default" w:ascii="Times New Roman" w:hAnsi="Times New Roman" w:eastAsia="宋体" w:cs="Times New Roman"/>
                      <w:bCs/>
                      <w:kern w:val="1"/>
                      <w:sz w:val="21"/>
                      <w:szCs w:val="21"/>
                      <w:lang w:val="en-US" w:eastAsia="zh-CN" w:bidi="ar-SA"/>
                    </w:rPr>
                  </w:pPr>
                  <w:r>
                    <w:rPr>
                      <w:rFonts w:hint="default" w:ascii="Times New Roman" w:hAnsi="Times New Roman"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委托合同履约率100%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履约合同数目÷总合同数目*100</w:t>
                  </w:r>
                </w:p>
              </w:tc>
              <w:tc>
                <w:tcPr>
                  <w:tcW w:w="2266"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rPr>
                    <w:t>100%</w:t>
                  </w: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400</w:t>
            </w:r>
            <w:r>
              <w:rPr>
                <w:rFonts w:hint="eastAsia"/>
              </w:rPr>
              <w:t>平方米；</w:t>
            </w:r>
            <w:r>
              <w:rPr>
                <w:rFonts w:hint="eastAsia"/>
                <w:lang w:val="en-US" w:eastAsia="zh-CN"/>
              </w:rPr>
              <w:t>办公</w:t>
            </w:r>
            <w:r>
              <w:rPr>
                <w:rFonts w:hint="eastAsia"/>
              </w:rPr>
              <w:t>室</w:t>
            </w:r>
            <w:r>
              <w:rPr>
                <w:rFonts w:hint="eastAsia"/>
                <w:lang w:val="en-US" w:eastAsia="zh-CN"/>
              </w:rPr>
              <w:t>10</w:t>
            </w:r>
            <w:r>
              <w:rPr>
                <w:rFonts w:hint="eastAsia"/>
              </w:rPr>
              <w:t>个；</w:t>
            </w:r>
          </w:p>
          <w:p>
            <w:pPr>
              <w:shd w:val="clear" w:color="auto" w:fill="C7DAF1" w:themeFill="text2" w:themeFillTint="32"/>
              <w:rPr>
                <w:u w:val="single"/>
              </w:rPr>
            </w:pPr>
            <w:r>
              <w:rPr>
                <w:rFonts w:hint="eastAsia"/>
              </w:rPr>
              <w:t>主要生产设备有：</w:t>
            </w:r>
            <w:r>
              <w:rPr>
                <w:rFonts w:hint="eastAsia"/>
                <w:color w:val="000000"/>
                <w:szCs w:val="21"/>
                <w:lang w:eastAsia="zh-CN"/>
              </w:rPr>
              <w:t>笔记本电脑、数码相机、接线板</w:t>
            </w:r>
          </w:p>
          <w:p>
            <w:pPr>
              <w:shd w:val="clear" w:color="auto" w:fill="C7DAF1" w:themeFill="text2" w:themeFillTint="32"/>
              <w:rPr>
                <w:rFonts w:hint="eastAsia" w:eastAsia="宋体"/>
                <w:lang w:eastAsia="zh-CN"/>
              </w:rPr>
            </w:pPr>
            <w:r>
              <w:rPr>
                <w:rFonts w:hint="eastAsia"/>
              </w:rPr>
              <w:t>特种设备：</w:t>
            </w:r>
            <w:r>
              <w:rPr>
                <w:rFonts w:hint="eastAsia" w:ascii="Wingdings" w:hAnsi="Wingdings"/>
                <w:lang w:val="en-US" w:eastAsia="zh-CN"/>
              </w:rPr>
              <w:t>无</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lang w:eastAsia="zh-CN"/>
              </w:rPr>
              <w:t>☑</w:t>
            </w:r>
            <w:r>
              <w:rPr>
                <w:rFonts w:hint="eastAsia"/>
              </w:rPr>
              <w:t>法律法规获取有遗漏，缺少：</w:t>
            </w:r>
            <w:r>
              <w:rPr>
                <w:rFonts w:hint="eastAsia"/>
                <w:lang w:val="en-US" w:eastAsia="zh-CN"/>
              </w:rPr>
              <w:t>个别标准非现行有效版本。</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eastAsia="宋体"/>
                <w:lang w:eastAsia="zh-CN"/>
              </w:rPr>
            </w:pPr>
            <w:r>
              <w:rPr>
                <w:rFonts w:hint="eastAsia"/>
              </w:rPr>
              <w:t>审核期间内设计和开发新产品/项目名称：河北省水利工程局集团有限公司</w:t>
            </w:r>
            <w:r>
              <w:rPr>
                <w:rFonts w:hint="eastAsia"/>
                <w:lang w:eastAsia="zh-CN"/>
              </w:rPr>
              <w:t>“网络安全等级保护网站服务器系统”</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val="en-US" w:eastAsia="zh-CN"/>
              </w:rPr>
              <w:t>无</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76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shd w:val="clear" w:color="auto" w:fill="C7DAF1" w:themeFill="text2" w:themeFillTint="32"/>
                    <w:jc w:val="left"/>
                  </w:pPr>
                  <w:r>
                    <w:rPr>
                      <w:rFonts w:hint="eastAsia"/>
                    </w:rPr>
                    <w:t>产品/服务名称</w:t>
                  </w:r>
                </w:p>
              </w:tc>
              <w:tc>
                <w:tcPr>
                  <w:tcW w:w="276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shd w:val="clear" w:color="auto" w:fill="C7DAF1" w:themeFill="text2" w:themeFillTint="32"/>
                    <w:jc w:val="left"/>
                  </w:pPr>
                  <w:r>
                    <w:rPr>
                      <w:rFonts w:hint="eastAsia"/>
                      <w:color w:val="000000"/>
                      <w:lang w:eastAsia="zh-CN"/>
                    </w:rPr>
                    <w:t>网络安全等级保护</w:t>
                  </w:r>
                  <w:r>
                    <w:rPr>
                      <w:rFonts w:hint="eastAsia"/>
                      <w:color w:val="000000"/>
                    </w:rPr>
                    <w:t>测评</w:t>
                  </w:r>
                </w:p>
              </w:tc>
              <w:tc>
                <w:tcPr>
                  <w:tcW w:w="2767" w:type="dxa"/>
                </w:tcPr>
                <w:p>
                  <w:pPr>
                    <w:shd w:val="clear" w:color="auto" w:fill="C7DAF1" w:themeFill="text2" w:themeFillTint="32"/>
                    <w:jc w:val="left"/>
                  </w:pPr>
                  <w:r>
                    <w:rPr>
                      <w:rFonts w:hint="eastAsia"/>
                      <w:color w:val="000000"/>
                    </w:rPr>
                    <w:t>现场测评过程</w:t>
                  </w:r>
                </w:p>
              </w:tc>
              <w:tc>
                <w:tcPr>
                  <w:tcW w:w="3265" w:type="dxa"/>
                </w:tcPr>
                <w:p>
                  <w:pPr>
                    <w:shd w:val="clear" w:color="auto" w:fill="C7DAF1" w:themeFill="text2" w:themeFillTint="32"/>
                    <w:jc w:val="left"/>
                  </w:pPr>
                  <w:r>
                    <w:rPr>
                      <w:rFonts w:hint="eastAsia"/>
                      <w:color w:val="000000"/>
                      <w:lang w:eastAsia="zh-CN"/>
                    </w:rPr>
                    <w:t>物理环境、安全通信网络、安全区域边界、安全计算环境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shd w:val="clear" w:color="auto" w:fill="C7DAF1" w:themeFill="text2" w:themeFillTint="32"/>
                    <w:jc w:val="left"/>
                  </w:pPr>
                  <w:r>
                    <w:rPr>
                      <w:rFonts w:hint="eastAsia" w:ascii="宋体" w:hAnsi="宋体" w:cs="宋体"/>
                      <w:color w:val="000000"/>
                      <w:kern w:val="0"/>
                      <w:szCs w:val="21"/>
                    </w:rPr>
                    <w:t>信息安全风险评估</w:t>
                  </w:r>
                </w:p>
              </w:tc>
              <w:tc>
                <w:tcPr>
                  <w:tcW w:w="2767" w:type="dxa"/>
                </w:tcPr>
                <w:p>
                  <w:pPr>
                    <w:shd w:val="clear" w:color="auto" w:fill="C7DAF1" w:themeFill="text2" w:themeFillTint="32"/>
                    <w:jc w:val="left"/>
                  </w:pPr>
                  <w:r>
                    <w:rPr>
                      <w:rFonts w:hint="eastAsia" w:ascii="宋体" w:hAnsi="宋体" w:cs="宋体"/>
                      <w:color w:val="000000"/>
                      <w:kern w:val="0"/>
                      <w:szCs w:val="21"/>
                      <w:lang w:eastAsia="zh-CN"/>
                    </w:rPr>
                    <w:t>现场渗透测试过程</w:t>
                  </w:r>
                </w:p>
              </w:tc>
              <w:tc>
                <w:tcPr>
                  <w:tcW w:w="3265" w:type="dxa"/>
                </w:tcPr>
                <w:p>
                  <w:pPr>
                    <w:shd w:val="clear" w:color="auto" w:fill="C7DAF1" w:themeFill="text2" w:themeFillTint="32"/>
                    <w:jc w:val="left"/>
                  </w:pPr>
                  <w:r>
                    <w:rPr>
                      <w:rFonts w:hint="default" w:ascii="宋体" w:hAnsi="宋体" w:cs="宋体"/>
                      <w:color w:val="000000"/>
                      <w:kern w:val="0"/>
                      <w:szCs w:val="21"/>
                      <w:lang w:val="en-US" w:eastAsia="zh-CN"/>
                    </w:rPr>
                    <w:t>网络安全、主机系统安全、应用安全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shd w:val="clear" w:color="auto" w:fill="C7DAF1" w:themeFill="text2" w:themeFillTint="32"/>
                    <w:jc w:val="left"/>
                  </w:pPr>
                </w:p>
              </w:tc>
              <w:tc>
                <w:tcPr>
                  <w:tcW w:w="276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宋体"/>
                <w:color w:val="000000"/>
                <w:kern w:val="0"/>
                <w:szCs w:val="21"/>
                <w:lang w:eastAsia="zh-CN"/>
              </w:rPr>
              <w:t>信息调研</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lang w:val="en-US" w:eastAsia="zh-CN"/>
              </w:rPr>
              <w:t>合同编号</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lang w:val="en-US" w:eastAsia="zh-CN"/>
              </w:rPr>
              <w:t>数据</w:t>
            </w:r>
            <w:r>
              <w:rPr>
                <w:rFonts w:hint="eastAsia" w:ascii="Wingdings" w:hAnsi="Wingdings"/>
              </w:rPr>
              <w:t>¨</w:t>
            </w:r>
            <w:r>
              <w:rPr>
                <w:rFonts w:hint="eastAsia"/>
              </w:rPr>
              <w:t>个人信息</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过程检验</w:t>
            </w:r>
            <w:r>
              <w:rPr>
                <w:rFonts w:hint="eastAsia" w:ascii="Wingdings" w:hAnsi="Wingdings"/>
              </w:rPr>
              <w:t>¨</w:t>
            </w:r>
            <w:r>
              <w:rPr>
                <w:rFonts w:hint="eastAsia"/>
              </w:rPr>
              <w:t>最终检验</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29-30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49B4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2021-12-14T13:43:06Z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