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99"/>
        <w:gridCol w:w="319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河北省石家庄市桥西区裕华西路128号乐活大厦B座20层2009室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河北省石家庄市桥西区裕华西路128号乐活大厦B座20层2009室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李红红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18503222083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5300725@qq.com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1258-2021-Q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信息安全技术服务（包含网络安全等级保护测评、信息安全风险评估）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33.02.04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0"/>
              </w:rPr>
              <w:t xml:space="preserve">2021年12月13日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hint="eastAsia"/>
                <w:b/>
                <w:sz w:val="20"/>
              </w:rPr>
              <w:t>午至2021年12月14日 下午</w:t>
            </w:r>
            <w:bookmarkEnd w:id="17"/>
            <w:r>
              <w:rPr>
                <w:rFonts w:hint="eastAsia"/>
                <w:b/>
                <w:sz w:val="20"/>
              </w:rPr>
              <w:t>(共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33.02.04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2020-N0QMS-1215052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2021.12.1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19" w:name="_GoBack"/>
      <w:bookmarkEnd w:id="19"/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42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2021.12.13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2021.12.14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测评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生产和服务提供的控制；标识和可追溯性；产品防护；顾客或外部供方财产；交付后活动；变更的控制；产品和服务的放行；不合格输出的控制；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8.5/8.6/8.7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3E9"/>
    <w:rsid w:val="004A18E6"/>
    <w:rsid w:val="006A7F28"/>
    <w:rsid w:val="009E612E"/>
    <w:rsid w:val="00AE7C66"/>
    <w:rsid w:val="00DD2FAA"/>
    <w:rsid w:val="00E163E9"/>
    <w:rsid w:val="4A694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835</Words>
  <Characters>4765</Characters>
  <Lines>39</Lines>
  <Paragraphs>11</Paragraphs>
  <TotalTime>3</TotalTime>
  <ScaleCrop>false</ScaleCrop>
  <LinksUpToDate>false</LinksUpToDate>
  <CharactersWithSpaces>5589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2021-12-10T02:48:43Z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