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河北恒讯达信息科技有限公司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2021年12月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日 上午至2021年12月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91130104794191469Q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2006年10月23日至2026年10月22日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信息技术、计算机软硬件、电子产品、通信设备、网络技术的研发、技术转让、技术咨询、技术服务；城乡规划设计、工程项目管理；网络安全检测服务、网络安全运维服务、网络安全风险评估服务、网络安全应急服务（以上范围凭许可证经营）；工程监理；电子产品、计算机软硬件销售。（依法需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信息安全技术服务（包含网络安全等级保护测评、信息安全风险评估）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网络安全等级测评与检测评估机构服务认证证书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SC202127130010054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2024年11月17日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网络安全等级测评与检测评估服务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河北省石家庄市桥西区裕华西路128号乐活大厦B座20层2009室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河北省石家庄市桥西区裕华西路128号乐活大厦B座20层2009室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napToGrid w:val="0"/>
              <w:spacing w:line="240" w:lineRule="auto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⑴网络安全等级保护测评：信息调研---方案设计、编制---现场测评---对方整改------复评---分析---编制报告。</w:t>
            </w:r>
          </w:p>
          <w:p>
            <w:pPr>
              <w:snapToGrid w:val="0"/>
              <w:spacing w:line="240" w:lineRule="auto"/>
              <w:rPr>
                <w:rFonts w:hint="eastAsia"/>
                <w:color w:val="000000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⑵信息安全风险评估：信息调研---方案设计、编制（渗透方式）---渗透测试---分析评估---编制报告。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089"/>
              <w:gridCol w:w="3975"/>
              <w:gridCol w:w="22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9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文件受控率100%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受控文件数÷总文件数*100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培训计划执行率100%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培训计划执行数÷总策划数*100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测评人员持证上岗率100%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测评人员持证上岗人员÷总测评人员*100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tabs>
                      <w:tab w:val="left" w:pos="840"/>
                    </w:tabs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测评数据差错率＜0.5%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差错测评数据数目÷总测评数据数目*100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终测测评报告出具时间符合规定要求率100%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季度内终测报告出具时间符合规定要求数目</w:t>
                  </w: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÷季度内总终测报告数目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*100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>顾客满意度≥95%；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pict>
                      <v:line id="直线 2" o:spid="_x0000_s2052" o:spt="20" style="position:absolute;left:0pt;margin-left:6.25pt;margin-top:23.4pt;height:0pt;width:148.7pt;z-index:251659264;mso-width-relative:page;mso-height-relative:page;" filled="f" stroked="t" coordsize="21600,21600" o:gfxdata="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xy7ItYAAAAJAQAADwAA&#10;AAAAAAABACAAAAAiAAAAZHJzL2Rvd25yZXYueG1sUEsBAhQAFAAAAAgAh07iQEDtl0rfAQAAzwMA&#10;AA4AAAAAAAAAAQAgAAAAJQEAAGRycy9lMm9Eb2MueG1sUEsFBgAAAAAGAAYAWQEAAHYFAAAAAA==&#10;">
                        <v:path arrowok="t"/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w:pic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kern w:val="1"/>
                      <w:szCs w:val="21"/>
                    </w:rPr>
                    <w:t xml:space="preserve">   </w:t>
                  </w: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顾客满意度(N1+N2+……Nn)</w:t>
                  </w:r>
                </w:p>
                <w:p>
                  <w:pPr>
                    <w:spacing w:line="360" w:lineRule="auto"/>
                    <w:ind w:firstLine="1080" w:firstLineChars="600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 xml:space="preserve">      n                </w:t>
                  </w:r>
                  <w:r>
                    <w:rPr>
                      <w:rFonts w:hint="eastAsia" w:cs="Times New Roman"/>
                      <w:sz w:val="18"/>
                      <w:szCs w:val="18"/>
                      <w:lang w:val="en-US" w:eastAsia="zh-CN"/>
                    </w:rPr>
                    <w:t>*100</w:t>
                  </w: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处理顾客反馈信息率100%。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处理顾客信息的项目÷顾客反馈的总项目数*100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kern w:val="1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委托合同履约率100%</w:t>
                  </w:r>
                </w:p>
              </w:tc>
              <w:tc>
                <w:tcPr>
                  <w:tcW w:w="108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每季度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</w:rPr>
                    <w:t>履约合同数目÷总合同数目*100</w:t>
                  </w:r>
                </w:p>
              </w:tc>
              <w:tc>
                <w:tcPr>
                  <w:tcW w:w="22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 xml:space="preserve"> 5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FF"/>
                <w:szCs w:val="18"/>
              </w:rPr>
              <w:t>记录表格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FF"/>
                <w:szCs w:val="18"/>
              </w:rPr>
              <w:t>份；详</w:t>
            </w:r>
            <w:r>
              <w:rPr>
                <w:rFonts w:hint="eastAsia"/>
                <w:color w:val="000000"/>
                <w:szCs w:val="18"/>
              </w:rPr>
              <w:t>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9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29日-30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10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15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snapToGrid w:val="0"/>
              <w:spacing w:line="24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</w:t>
            </w:r>
            <w:r>
              <w:rPr>
                <w:rFonts w:hint="eastAsia"/>
                <w:color w:val="000000"/>
                <w:lang w:eastAsia="zh-CN"/>
              </w:rPr>
              <w:t>）（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eastAsia="zh-CN"/>
              </w:rPr>
              <w:t>网络安全等级保护</w:t>
            </w:r>
            <w:r>
              <w:rPr>
                <w:rFonts w:hint="eastAsia"/>
                <w:color w:val="000000"/>
              </w:rPr>
              <w:t>测评关键过程为现场测评过程；</w:t>
            </w:r>
          </w:p>
          <w:p>
            <w:pPr>
              <w:snapToGrid w:val="0"/>
              <w:spacing w:line="240" w:lineRule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相关控制参数名称：物理环境、安全通信网络、安全区域边界、安全计算环境、安全管理中心、安全管理制度、安全管理机构、安全管理人员、安全建设管理、安全运维管理等十个方面</w:t>
            </w:r>
          </w:p>
          <w:p>
            <w:pPr>
              <w:snapToGrid w:val="0"/>
              <w:spacing w:line="240" w:lineRule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质量关键过程（工序</w:t>
            </w:r>
            <w:r>
              <w:rPr>
                <w:rFonts w:hint="eastAsia"/>
                <w:color w:val="000000"/>
                <w:lang w:eastAsia="zh-CN"/>
              </w:rPr>
              <w:t>）（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lang w:eastAsia="zh-CN"/>
              </w:rPr>
              <w:t>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信息安全风险评估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关键过程为现场渗透测试过程；</w:t>
            </w:r>
          </w:p>
          <w:p>
            <w:pPr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相关控制参数名称：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网络安全、主机系统安全、应用安全、数据安全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eastAsia="zh-CN"/>
              </w:rPr>
              <w:t>网络安全等级保护</w:t>
            </w:r>
            <w:r>
              <w:rPr>
                <w:rFonts w:hint="eastAsia"/>
                <w:color w:val="000000"/>
              </w:rPr>
              <w:t>测评</w:t>
            </w:r>
            <w:r>
              <w:rPr>
                <w:rFonts w:hint="eastAsia"/>
                <w:color w:val="000000"/>
                <w:lang w:eastAsia="zh-CN"/>
              </w:rPr>
              <w:t>需确认过程为</w:t>
            </w:r>
            <w:bookmarkStart w:id="5" w:name="_GoBack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信息调研</w:t>
            </w:r>
            <w:bookmarkEnd w:id="5"/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lang w:eastAsia="zh-CN"/>
              </w:rPr>
              <w:t>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信息安全风险评估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需确认过程为信息调研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rFonts w:hint="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：笔记本电脑、数码相机、接线板、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办公家具、汽车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pStyle w:val="14"/>
              <w:tabs>
                <w:tab w:val="left" w:pos="1023"/>
              </w:tabs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①漏洞扫描仪1台（北京神州绿盟信息安全科技股份有限公司）②测评作业工具5套（软件中关村信息安全测评联盟机构）</w:t>
            </w:r>
          </w:p>
          <w:p>
            <w:pPr>
              <w:pStyle w:val="14"/>
              <w:tabs>
                <w:tab w:val="left" w:pos="1023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5E80E12"/>
    <w:rsid w:val="0CD061E7"/>
    <w:rsid w:val="16563CB3"/>
    <w:rsid w:val="23900716"/>
    <w:rsid w:val="23C1631F"/>
    <w:rsid w:val="2A52349E"/>
    <w:rsid w:val="2D762812"/>
    <w:rsid w:val="2E0925B3"/>
    <w:rsid w:val="57550CAA"/>
    <w:rsid w:val="638D1F52"/>
    <w:rsid w:val="657D6AE4"/>
    <w:rsid w:val="6A3E3148"/>
    <w:rsid w:val="6FFC3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5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2021-12-14T13:43:12Z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