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1256-2021-EnMs</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江苏润泰银科技股份有限公司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能源管理体系（EnMS）</w:t>
      </w:r>
    </w:p>
    <w:p>
      <w:pPr>
        <w:jc w:val="left"/>
        <w:rPr>
          <w:sz w:val="28"/>
          <w:szCs w:val="28"/>
        </w:rPr>
      </w:pPr>
    </w:p>
    <w:p>
      <w:pPr>
        <w:pStyle w:val="12"/>
      </w:pPr>
    </w:p>
    <w:p>
      <w:pPr>
        <w:pStyle w:val="12"/>
      </w:pPr>
    </w:p>
    <w:p>
      <w:pPr>
        <w:pStyle w:val="12"/>
      </w:pPr>
    </w:p>
    <w:p>
      <w:pPr>
        <w:pStyle w:val="12"/>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江苏润泰银科技股份有限公司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泗阳经济开发区桂林路北侧</w:t>
            </w:r>
            <w:bookmarkEnd w:id="6"/>
          </w:p>
        </w:tc>
        <w:tc>
          <w:tcPr>
            <w:tcW w:w="1242" w:type="dxa"/>
            <w:vMerge w:val="restart"/>
            <w:vAlign w:val="center"/>
          </w:tcPr>
          <w:p>
            <w:r>
              <w:rPr>
                <w:rFonts w:hint="eastAsia"/>
              </w:rPr>
              <w:t>邮编</w:t>
            </w:r>
          </w:p>
        </w:tc>
        <w:tc>
          <w:tcPr>
            <w:tcW w:w="1771" w:type="dxa"/>
          </w:tcPr>
          <w:p>
            <w:bookmarkStart w:id="7" w:name="注册邮编"/>
            <w:r>
              <w:t>223799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江苏省泗阳经济开发区桂林路北侧</w:t>
            </w:r>
            <w:bookmarkEnd w:id="8"/>
          </w:p>
        </w:tc>
        <w:tc>
          <w:tcPr>
            <w:tcW w:w="1242" w:type="dxa"/>
            <w:vMerge w:val="continue"/>
            <w:vAlign w:val="center"/>
          </w:tcPr>
          <w:p/>
        </w:tc>
        <w:tc>
          <w:tcPr>
            <w:tcW w:w="1771" w:type="dxa"/>
          </w:tcPr>
          <w:p>
            <w:bookmarkStart w:id="9" w:name="办公邮编"/>
            <w:r>
              <w:t>223799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许慧宇</w:t>
            </w:r>
            <w:bookmarkEnd w:id="10"/>
          </w:p>
        </w:tc>
        <w:tc>
          <w:tcPr>
            <w:tcW w:w="1313" w:type="dxa"/>
            <w:vAlign w:val="center"/>
          </w:tcPr>
          <w:p>
            <w:r>
              <w:rPr>
                <w:rFonts w:hint="eastAsia"/>
              </w:rPr>
              <w:t>电话.</w:t>
            </w:r>
          </w:p>
        </w:tc>
        <w:tc>
          <w:tcPr>
            <w:tcW w:w="2180" w:type="dxa"/>
            <w:vAlign w:val="center"/>
          </w:tcPr>
          <w:p>
            <w:bookmarkStart w:id="11" w:name="联系人电话"/>
            <w:r>
              <w:t>13861677390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陈燕红</w:t>
            </w:r>
            <w:bookmarkEnd w:id="13"/>
          </w:p>
        </w:tc>
        <w:tc>
          <w:tcPr>
            <w:tcW w:w="1313" w:type="dxa"/>
            <w:vAlign w:val="center"/>
          </w:tcPr>
          <w:p>
            <w:r>
              <w:rPr>
                <w:rFonts w:hint="eastAsia"/>
              </w:rPr>
              <w:t>管理者代表</w:t>
            </w:r>
          </w:p>
        </w:tc>
        <w:tc>
          <w:tcPr>
            <w:tcW w:w="2180" w:type="dxa"/>
          </w:tcPr>
          <w:p>
            <w:bookmarkStart w:id="14" w:name="管理者代表"/>
            <w:r>
              <w:t>许慧宇</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tabs>
                <w:tab w:val="left" w:pos="360"/>
              </w:tabs>
              <w:ind w:left="360" w:hanging="36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塑料密封件工艺流程图：</w:t>
            </w:r>
          </w:p>
          <w:p>
            <w:pPr>
              <w:tabs>
                <w:tab w:val="left" w:pos="360"/>
              </w:tabs>
              <w:ind w:left="360" w:hanging="36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TPV粒料-成型-修边、组立-实验-成品入库</w:t>
            </w:r>
          </w:p>
          <w:p>
            <w:pPr>
              <w:tabs>
                <w:tab w:val="left" w:pos="360"/>
              </w:tabs>
              <w:rPr>
                <w:rFonts w:ascii="Times New Roman" w:hAnsi="Times New Roman" w:eastAsia="宋体" w:cs="Times New Roman"/>
              </w:rPr>
            </w:pPr>
          </w:p>
          <w:p>
            <w:pPr>
              <w:tabs>
                <w:tab w:val="left" w:pos="360"/>
              </w:tabs>
              <w:ind w:left="360" w:hanging="360"/>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橡胶密封件（垫圈）工艺流程图</w:t>
            </w:r>
            <w:r>
              <w:rPr>
                <w:rFonts w:hint="eastAsia" w:ascii="Times New Roman" w:hAnsi="Times New Roman" w:eastAsia="宋体" w:cs="Times New Roman"/>
                <w:lang w:val="en-US" w:eastAsia="zh-CN"/>
              </w:rPr>
              <w:t xml:space="preserve">：                                </w:t>
            </w:r>
          </w:p>
          <w:p>
            <w:r>
              <w:rPr>
                <w:rFonts w:hint="eastAsia" w:ascii="Times New Roman" w:hAnsi="Times New Roman" w:eastAsia="宋体" w:cs="Times New Roman"/>
                <w:lang w:val="en-US" w:eastAsia="zh-CN"/>
              </w:rPr>
              <w:t>EPDM原料-混炼-压片-成型-修边、组立-实验-密封件入库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0"/>
        <w:gridCol w:w="822"/>
        <w:gridCol w:w="2733"/>
        <w:gridCol w:w="1883"/>
        <w:gridCol w:w="1142"/>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4"/>
            <w:tcMar>
              <w:left w:w="113" w:type="dxa"/>
            </w:tcMar>
          </w:tcPr>
          <w:p>
            <w:bookmarkStart w:id="15" w:name="审核日期"/>
            <w:r>
              <w:rPr>
                <w:rFonts w:hint="eastAsia"/>
              </w:rPr>
              <w:t>2021年12月</w:t>
            </w:r>
            <w:r>
              <w:rPr>
                <w:rFonts w:hint="eastAsia"/>
                <w:lang w:val="en-US" w:eastAsia="zh-CN"/>
              </w:rPr>
              <w:t>10</w:t>
            </w:r>
            <w:r>
              <w:rPr>
                <w:rFonts w:hint="eastAsia"/>
              </w:rPr>
              <w:t xml:space="preserve">日 </w:t>
            </w:r>
            <w:r>
              <w:rPr>
                <w:rFonts w:hint="eastAsia"/>
                <w:lang w:val="en-US" w:eastAsia="zh-CN"/>
              </w:rPr>
              <w:t>上</w:t>
            </w:r>
            <w:r>
              <w:rPr>
                <w:rFonts w:hint="eastAsia"/>
              </w:rPr>
              <w:t>午至2021年12月1</w:t>
            </w:r>
            <w:r>
              <w:rPr>
                <w:rFonts w:hint="eastAsia"/>
                <w:lang w:val="en-US" w:eastAsia="zh-CN"/>
              </w:rPr>
              <w:t>2</w:t>
            </w:r>
            <w:r>
              <w:rPr>
                <w:rFonts w:hint="eastAsia"/>
              </w:rPr>
              <w:t xml:space="preserve">日 </w:t>
            </w:r>
            <w:r>
              <w:rPr>
                <w:rFonts w:hint="eastAsia"/>
                <w:lang w:val="en-US" w:eastAsia="zh-CN"/>
              </w:rPr>
              <w:t>上</w:t>
            </w:r>
            <w:r>
              <w:rPr>
                <w:rFonts w:hint="eastAsia"/>
              </w:rPr>
              <w:t>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4"/>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4"/>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eastAsia="zh-CN"/>
              </w:rPr>
              <w:t>☑</w:t>
            </w:r>
            <w:r>
              <w:rPr>
                <w:rFonts w:hint="eastAsia"/>
              </w:rPr>
              <w:t>GB/T 23331-2020/</w:t>
            </w:r>
            <w:r>
              <w:rPr>
                <w:rFonts w:hint="eastAsia"/>
                <w:lang w:val="de-DE"/>
              </w:rPr>
              <w:t>ISO50001：2018标准</w:t>
            </w:r>
          </w:p>
          <w:p>
            <w:r>
              <w:rPr>
                <w:rFonts w:hint="eastAsia"/>
                <w:lang w:val="de-DE" w:eastAsia="zh-CN"/>
              </w:rPr>
              <w:t>☑</w:t>
            </w:r>
            <w:r>
              <w:rPr>
                <w:rFonts w:hint="eastAsia" w:eastAsia="宋体"/>
                <w:lang w:val="de-DE"/>
              </w:rPr>
              <w:t>RB</w:t>
            </w:r>
            <w:r>
              <w:rPr>
                <w:rFonts w:hint="eastAsia" w:eastAsia="宋体"/>
                <w:lang w:val="en-US" w:eastAsia="zh-CN"/>
              </w:rPr>
              <w:t>/</w:t>
            </w:r>
            <w:r>
              <w:rPr>
                <w:rFonts w:hint="eastAsia" w:eastAsia="宋体"/>
                <w:lang w:val="de-DE"/>
              </w:rPr>
              <w:t>T 114-2014能源管理体系 纯碱、焦化、橡塑制品、制药等化工企业认证要求</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4"/>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4"/>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4"/>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4"/>
            <w:tcMar>
              <w:left w:w="113" w:type="dxa"/>
            </w:tcMar>
          </w:tcPr>
          <w:p>
            <w:pPr>
              <w:rPr>
                <w:rFonts w:hint="eastAsia" w:ascii="宋体" w:eastAsia="宋体"/>
                <w:b/>
                <w:color w:val="0000FF"/>
                <w:szCs w:val="21"/>
                <w:lang w:eastAsia="zh-CN"/>
              </w:rPr>
            </w:pPr>
            <w:r>
              <w:t>江苏省泗阳经济开发区桂林路北侧</w:t>
            </w:r>
            <w:r>
              <w:rPr>
                <w:rFonts w:hint="eastAsia"/>
                <w:lang w:eastAsia="zh-CN"/>
              </w:rPr>
              <w:t>（</w:t>
            </w:r>
            <w:r>
              <w:rPr>
                <w:rFonts w:hint="eastAsia"/>
                <w:lang w:val="en-US" w:eastAsia="zh-CN"/>
              </w:rPr>
              <w:t>远程：北京市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4"/>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4"/>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4"/>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w:t>
            </w:r>
            <w:r>
              <w:rPr>
                <w:rFonts w:hint="eastAsia" w:ascii="宋体"/>
                <w:b/>
                <w:color w:val="0000FF"/>
                <w:szCs w:val="21"/>
                <w:lang w:eastAsia="zh-CN"/>
              </w:rPr>
              <w:t>☑</w:t>
            </w:r>
            <w:r>
              <w:rPr>
                <w:rFonts w:hint="eastAsia" w:ascii="宋体"/>
                <w:b/>
                <w:color w:val="0000FF"/>
                <w:szCs w:val="21"/>
              </w:rPr>
              <w:t>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0" w:type="dxa"/>
            <w:vMerge w:val="restart"/>
            <w:vAlign w:val="center"/>
          </w:tcPr>
          <w:p>
            <w:r>
              <w:rPr>
                <w:rFonts w:hint="eastAsia"/>
              </w:rPr>
              <w:t>审核范围</w:t>
            </w:r>
          </w:p>
        </w:tc>
        <w:tc>
          <w:tcPr>
            <w:tcW w:w="6580" w:type="dxa"/>
            <w:gridSpan w:val="4"/>
            <w:vMerge w:val="restart"/>
            <w:vAlign w:val="center"/>
          </w:tcPr>
          <w:p>
            <w:pPr>
              <w:rPr>
                <w:rFonts w:hint="eastAsia" w:eastAsia="宋体"/>
                <w:lang w:val="en-US" w:eastAsia="zh-CN"/>
              </w:rPr>
            </w:pPr>
            <w:bookmarkStart w:id="29" w:name="审核范围"/>
            <w:r>
              <w:t>适用于汽车配件（橡胶、塑料）密封条制造的能源管理</w:t>
            </w:r>
            <w:bookmarkEnd w:id="29"/>
            <w:r>
              <w:rPr>
                <w:rFonts w:hint="eastAsia"/>
                <w:lang w:val="en-US" w:eastAsia="zh-CN"/>
              </w:rPr>
              <w:t>活动</w:t>
            </w:r>
          </w:p>
        </w:tc>
        <w:tc>
          <w:tcPr>
            <w:tcW w:w="2073"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10" w:type="dxa"/>
            <w:vMerge w:val="continue"/>
            <w:vAlign w:val="center"/>
          </w:tcPr>
          <w:p/>
        </w:tc>
        <w:tc>
          <w:tcPr>
            <w:tcW w:w="6580" w:type="dxa"/>
            <w:gridSpan w:val="4"/>
            <w:vMerge w:val="continue"/>
            <w:vAlign w:val="center"/>
          </w:tcPr>
          <w:p/>
        </w:tc>
        <w:tc>
          <w:tcPr>
            <w:tcW w:w="2073" w:type="dxa"/>
            <w:vAlign w:val="center"/>
          </w:tcPr>
          <w:p>
            <w:bookmarkStart w:id="30" w:name="专业代码"/>
            <w:r>
              <w:t>2.3</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4"/>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w:t>
            </w:r>
            <w:r>
              <w:rPr>
                <w:rFonts w:hint="eastAsia"/>
                <w:lang w:val="en-US" w:eastAsia="zh-CN"/>
              </w:rPr>
              <w:t>6</w:t>
            </w:r>
            <w:r>
              <w:rPr>
                <w:rFonts w:hint="eastAsia"/>
              </w:rPr>
              <w:t>个月</w:t>
            </w:r>
          </w:p>
          <w:p>
            <w:r>
              <w:rPr>
                <w:rFonts w:hint="eastAsia"/>
                <w:b/>
                <w:bCs/>
              </w:rPr>
              <w:t>能源管理体系运行已超过6个月</w:t>
            </w:r>
          </w:p>
        </w:tc>
        <w:tc>
          <w:tcPr>
            <w:tcW w:w="3215" w:type="dxa"/>
            <w:gridSpan w:val="2"/>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gridSpan w:val="2"/>
            <w:vAlign w:val="center"/>
          </w:tcPr>
          <w:p>
            <w:r>
              <w:rPr>
                <w:rFonts w:hint="eastAsia"/>
              </w:rPr>
              <w:t>有效至年月日</w:t>
            </w:r>
          </w:p>
        </w:tc>
      </w:tr>
    </w:tbl>
    <w:p/>
    <w:p>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0"/>
              <w:spacing w:before="0" w:after="0"/>
              <w:rPr>
                <w:rFonts w:eastAsia="黑体" w:cs="Arial"/>
                <w:sz w:val="21"/>
                <w:szCs w:val="21"/>
                <w:lang w:eastAsia="zh-CN"/>
              </w:rPr>
            </w:pPr>
            <w:r>
              <w:rPr>
                <w:rFonts w:eastAsia="黑体" w:cs="Arial"/>
                <w:sz w:val="21"/>
                <w:szCs w:val="21"/>
                <w:lang w:eastAsia="zh-CN"/>
              </w:rPr>
              <w:t>场所编号</w:t>
            </w:r>
          </w:p>
          <w:p>
            <w:pPr>
              <w:pStyle w:val="20"/>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0"/>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0"/>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pStyle w:val="21"/>
              <w:rPr>
                <w:rFonts w:hint="eastAsia" w:ascii="Times New Roman" w:hAnsi="Times New Roman" w:eastAsia="Times New Roman" w:cs="Times New Roman"/>
                <w:lang w:val="en-US" w:eastAsia="zh-CN"/>
              </w:rPr>
            </w:pPr>
            <w:r>
              <w:rPr>
                <w:rFonts w:ascii="Times New Roman" w:hAnsi="Times New Roman" w:eastAsia="Times New Roman" w:cs="Times New Roman"/>
              </w:rPr>
              <w:t>江苏润泰银科技股份有限公司</w:t>
            </w:r>
            <w:r>
              <w:rPr>
                <w:rFonts w:hint="eastAsia" w:ascii="Times New Roman" w:hAnsi="Times New Roman" w:eastAsia="Times New Roman" w:cs="Times New Roman"/>
                <w:lang w:val="en-US" w:eastAsia="zh-CN"/>
              </w:rPr>
              <w:t>/</w:t>
            </w:r>
            <w:r>
              <w:rPr>
                <w:rFonts w:ascii="Times New Roman" w:hAnsi="Times New Roman" w:eastAsia="Times New Roman" w:cs="Times New Roman"/>
              </w:rPr>
              <w:t>泗阳经济开发区桂林路北侧</w:t>
            </w:r>
          </w:p>
        </w:tc>
        <w:tc>
          <w:tcPr>
            <w:tcW w:w="2267" w:type="dxa"/>
          </w:tcPr>
          <w:p>
            <w:pPr>
              <w:pStyle w:val="21"/>
              <w:rPr>
                <w:rFonts w:ascii="Times New Roman" w:hAnsi="Times New Roman" w:eastAsia="Times New Roman" w:cs="Times New Roman"/>
                <w:lang w:val="de-DE" w:eastAsia="ja-JP"/>
              </w:rPr>
            </w:pPr>
            <w:bookmarkStart w:id="31" w:name="生产地址"/>
            <w:r>
              <w:rPr>
                <w:rFonts w:asciiTheme="minorEastAsia" w:hAnsiTheme="minorEastAsia" w:eastAsiaTheme="minorEastAsia"/>
                <w:sz w:val="20"/>
              </w:rPr>
              <w:t>江苏省泗阳经济开发区桂林路北侧</w:t>
            </w:r>
            <w:bookmarkEnd w:id="31"/>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92</w:t>
            </w:r>
          </w:p>
        </w:tc>
        <w:tc>
          <w:tcPr>
            <w:tcW w:w="2803" w:type="dxa"/>
            <w:vAlign w:val="center"/>
          </w:tcPr>
          <w:p>
            <w:pPr>
              <w:pStyle w:val="21"/>
              <w:rPr>
                <w:rFonts w:eastAsia="黑体" w:cs="Arial"/>
                <w:sz w:val="21"/>
                <w:szCs w:val="21"/>
                <w:lang w:val="en-US" w:eastAsia="ja-JP"/>
              </w:rPr>
            </w:pPr>
            <w:r>
              <w:t>适用于公司汽车配件（橡胶、塑料）密封条制造的能源管理</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GB/T23331-2020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bl>
    <w:p>
      <w:pPr>
        <w:pStyle w:val="12"/>
      </w:pPr>
    </w:p>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周涛</w:t>
            </w:r>
          </w:p>
        </w:tc>
        <w:tc>
          <w:tcPr>
            <w:tcW w:w="1089" w:type="dxa"/>
            <w:vAlign w:val="center"/>
          </w:tcPr>
          <w:p>
            <w:r>
              <w:t>组长</w:t>
            </w:r>
          </w:p>
        </w:tc>
        <w:tc>
          <w:tcPr>
            <w:tcW w:w="711" w:type="dxa"/>
            <w:vAlign w:val="center"/>
          </w:tcPr>
          <w:p>
            <w:r>
              <w:t>男</w:t>
            </w:r>
          </w:p>
        </w:tc>
        <w:tc>
          <w:tcPr>
            <w:tcW w:w="3870" w:type="dxa"/>
            <w:vAlign w:val="center"/>
          </w:tcPr>
          <w:p>
            <w:r>
              <w:t>2021-N1EnMS-2072033</w:t>
            </w:r>
          </w:p>
        </w:tc>
        <w:tc>
          <w:tcPr>
            <w:tcW w:w="2179" w:type="dxa"/>
            <w:vAlign w:val="center"/>
          </w:tcPr>
          <w:p>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王宁敏</w:t>
            </w:r>
          </w:p>
        </w:tc>
        <w:tc>
          <w:tcPr>
            <w:tcW w:w="1089" w:type="dxa"/>
            <w:vAlign w:val="center"/>
          </w:tcPr>
          <w:p>
            <w:r>
              <w:t>组员</w:t>
            </w:r>
          </w:p>
        </w:tc>
        <w:tc>
          <w:tcPr>
            <w:tcW w:w="711" w:type="dxa"/>
            <w:vAlign w:val="center"/>
          </w:tcPr>
          <w:p>
            <w:r>
              <w:t>男</w:t>
            </w:r>
          </w:p>
        </w:tc>
        <w:tc>
          <w:tcPr>
            <w:tcW w:w="3870" w:type="dxa"/>
            <w:vAlign w:val="center"/>
          </w:tcPr>
          <w:p>
            <w:r>
              <w:t>2021-N1EnMS-3061496</w:t>
            </w:r>
          </w:p>
        </w:tc>
        <w:tc>
          <w:tcPr>
            <w:tcW w:w="2179" w:type="dxa"/>
            <w:vAlign w:val="center"/>
          </w:tcPr>
          <w:p>
            <w:r>
              <w:t>2.3</w:t>
            </w:r>
          </w:p>
        </w:tc>
      </w:tr>
    </w:tbl>
    <w:p/>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r>
        <w:rPr>
          <w:rFonts w:hint="eastAsia"/>
          <w:lang w:eastAsia="zh-CN"/>
        </w:rPr>
        <w:t>☑</w:t>
      </w:r>
      <w:r>
        <w:rPr>
          <w:rFonts w:hint="eastAsia"/>
        </w:rPr>
        <w:t>EnMS□FSMS□HACCP的附件）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exact"/>
          <w:jc w:val="center"/>
        </w:trPr>
        <w:tc>
          <w:tcPr>
            <w:tcW w:w="1842" w:type="dxa"/>
          </w:tcPr>
          <w:p>
            <w:r>
              <w:rPr>
                <w:rFonts w:hint="eastAsia"/>
              </w:rPr>
              <w:t>审核组长签字</w:t>
            </w:r>
          </w:p>
        </w:tc>
        <w:tc>
          <w:tcPr>
            <w:tcW w:w="2764" w:type="dxa"/>
            <w:tcMar>
              <w:left w:w="113" w:type="dxa"/>
            </w:tcMar>
          </w:tcPr>
          <w:p/>
          <w:p>
            <w:r>
              <w:drawing>
                <wp:anchor distT="0" distB="0" distL="114300" distR="114300" simplePos="0" relativeHeight="251662336" behindDoc="1" locked="0" layoutInCell="1" allowOverlap="1">
                  <wp:simplePos x="0" y="0"/>
                  <wp:positionH relativeFrom="column">
                    <wp:posOffset>779780</wp:posOffset>
                  </wp:positionH>
                  <wp:positionV relativeFrom="paragraph">
                    <wp:posOffset>469900</wp:posOffset>
                  </wp:positionV>
                  <wp:extent cx="722630" cy="504190"/>
                  <wp:effectExtent l="0" t="0" r="1270" b="3810"/>
                  <wp:wrapTight wrapText="bothSides">
                    <wp:wrapPolygon>
                      <wp:start x="0" y="0"/>
                      <wp:lineTo x="0" y="21219"/>
                      <wp:lineTo x="21258" y="21219"/>
                      <wp:lineTo x="2125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lum contrast="84000"/>
                          </a:blip>
                          <a:stretch>
                            <a:fillRect/>
                          </a:stretch>
                        </pic:blipFill>
                        <pic:spPr>
                          <a:xfrm>
                            <a:off x="0" y="0"/>
                            <a:ext cx="722630" cy="504190"/>
                          </a:xfrm>
                          <a:prstGeom prst="rect">
                            <a:avLst/>
                          </a:prstGeom>
                          <a:solidFill>
                            <a:srgbClr val="9BBB59">
                              <a:alpha val="56000"/>
                            </a:srgbClr>
                          </a:solidFill>
                          <a:ln>
                            <a:noFill/>
                          </a:ln>
                          <a:effectLst>
                            <a:outerShdw algn="ctr" rotWithShape="0">
                              <a:srgbClr val="808080"/>
                            </a:outerShdw>
                          </a:effectLst>
                        </pic:spPr>
                      </pic:pic>
                    </a:graphicData>
                  </a:graphic>
                </wp:anchor>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2021.12.12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12"/>
      </w:pPr>
    </w:p>
    <w:p>
      <w:pPr>
        <w:pStyle w:val="12"/>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rPr>
                      <w:rFonts w:hint="eastAsia"/>
                    </w:rPr>
                    <w:t>活动、产品和服务</w:t>
                  </w:r>
                  <w:r>
                    <w:rPr>
                      <w:rFonts w:hint="eastAsia"/>
                      <w:lang w:eastAsia="zh-CN"/>
                    </w:rPr>
                    <w:t>☑</w:t>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节约资源□满足限额要求</w:t>
            </w:r>
            <w:r>
              <w:rPr>
                <w:rFonts w:hint="eastAsia"/>
                <w:lang w:eastAsia="zh-CN"/>
              </w:rPr>
              <w:t>☑</w:t>
            </w:r>
            <w:r>
              <w:rPr>
                <w:rFonts w:hint="eastAsia"/>
              </w:rPr>
              <w:t>主要用能设备管理□能耗测量</w:t>
            </w:r>
          </w:p>
          <w:p>
            <w:pPr>
              <w:shd w:val="clear" w:color="auto" w:fill="EBF1DE" w:themeFill="accent3" w:themeFillTint="32"/>
              <w:spacing w:before="40" w:after="40"/>
            </w:pP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□生产/服务过程□能效监测□设备维修□人员培训□其他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rPr>
                <w:rFonts w:hint="eastAsia"/>
                <w:color w:val="000000" w:themeColor="text1"/>
                <w:lang w:val="en-US" w:eastAsia="zh-CN"/>
              </w:rPr>
            </w:pPr>
            <w:r>
              <w:rPr>
                <w:rFonts w:hint="eastAsia"/>
              </w:rPr>
              <w:t>最高管理者制定了文件化的管理体系方针：</w:t>
            </w:r>
            <w:r>
              <w:rPr>
                <w:rFonts w:hint="eastAsia"/>
                <w:color w:val="000000" w:themeColor="text1"/>
                <w:lang w:val="en-US" w:eastAsia="zh-CN"/>
              </w:rPr>
              <w:t>遵守法规  清洁生产  创新改造  提高能效</w:t>
            </w: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EnMS的主管部门是——</w:t>
            </w:r>
            <w:r>
              <w:rPr>
                <w:rFonts w:hint="eastAsia"/>
                <w:lang w:eastAsia="zh-CN"/>
              </w:rPr>
              <w:t>☑</w:t>
            </w:r>
            <w:r>
              <w:rPr>
                <w:rFonts w:hint="eastAsia"/>
              </w:rPr>
              <w:t>能源管理团队□</w:t>
            </w:r>
          </w:p>
          <w:p>
            <w:pPr>
              <w:shd w:val="clear" w:color="auto" w:fill="EBF1DE" w:themeFill="accent3" w:themeFillTint="32"/>
              <w:rPr>
                <w:rFonts w:hint="eastAsia" w:eastAsia="宋体"/>
                <w:lang w:val="en-US" w:eastAsia="zh-CN"/>
              </w:rPr>
            </w:pPr>
            <w:r>
              <w:rPr>
                <w:rFonts w:hint="eastAsia"/>
              </w:rPr>
              <w:t>能源管理团队负责人（管理者代表）是——</w:t>
            </w:r>
            <w:r>
              <w:rPr>
                <w:rFonts w:hint="eastAsia"/>
                <w:lang w:val="en-US" w:eastAsia="zh-CN"/>
              </w:rPr>
              <w:t>许慧宇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停电的风险</w:t>
                  </w:r>
                </w:p>
              </w:tc>
              <w:tc>
                <w:tcPr>
                  <w:tcW w:w="3965" w:type="dxa"/>
                </w:tcPr>
                <w:p>
                  <w:pPr>
                    <w:shd w:val="clear" w:color="auto" w:fill="EBF1DE" w:themeFill="accent3" w:themeFillTint="32"/>
                    <w:rPr>
                      <w:rFonts w:hint="default" w:eastAsia="宋体"/>
                      <w:lang w:val="en-US" w:eastAsia="zh-CN"/>
                    </w:rPr>
                  </w:pPr>
                  <w:r>
                    <w:rPr>
                      <w:rFonts w:hint="eastAsia"/>
                      <w:lang w:val="en-US" w:eastAsia="zh-CN"/>
                    </w:rPr>
                    <w:t>制定应急预案</w:t>
                  </w:r>
                </w:p>
              </w:tc>
              <w:tc>
                <w:tcPr>
                  <w:tcW w:w="1717" w:type="dxa"/>
                </w:tcPr>
                <w:p>
                  <w:pPr>
                    <w:shd w:val="clear" w:color="auto" w:fill="EBF1DE" w:themeFill="accent3" w:themeFillTint="32"/>
                    <w:rPr>
                      <w:rFonts w:hint="eastAsia" w:eastAsia="宋体"/>
                      <w:lang w:val="en-US" w:eastAsia="zh-CN"/>
                    </w:rPr>
                  </w:pPr>
                  <w:r>
                    <w:rPr>
                      <w:rFonts w:hint="eastAsia" w:eastAsia="宋体"/>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p>
              </w:tc>
              <w:tc>
                <w:tcPr>
                  <w:tcW w:w="3965" w:type="dxa"/>
                </w:tcPr>
                <w:p>
                  <w:pPr>
                    <w:shd w:val="clear" w:color="auto" w:fill="EBF1DE" w:themeFill="accent3" w:themeFillTint="32"/>
                    <w:rPr>
                      <w:rFonts w:hint="default" w:eastAsia="宋体"/>
                      <w:lang w:val="en-US" w:eastAsia="zh-CN"/>
                    </w:rPr>
                  </w:pPr>
                </w:p>
              </w:tc>
              <w:tc>
                <w:tcPr>
                  <w:tcW w:w="1717" w:type="dxa"/>
                </w:tcPr>
                <w:p>
                  <w:pPr>
                    <w:shd w:val="clear" w:color="auto" w:fill="EBF1DE" w:themeFill="accent3" w:themeFillTint="32"/>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t>□蒸汽□天然气□燃料油□燃料气</w:t>
            </w:r>
            <w:r>
              <w:rPr>
                <w:rFonts w:hint="eastAsia"/>
                <w:lang w:eastAsia="zh-CN"/>
              </w:rPr>
              <w:t>☑</w:t>
            </w:r>
            <w:r>
              <w:rPr>
                <w:rFonts w:hint="eastAsia"/>
              </w:rPr>
              <w:t>电力□氮气□风□新鲜水□各种品质水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lang w:eastAsia="zh-CN"/>
              </w:rPr>
              <w:t>☑</w:t>
            </w:r>
            <w:r>
              <w:rPr>
                <w:rFonts w:hint="eastAsia"/>
              </w:rPr>
              <w:t>单位产品综合能耗□能源消费总量□单位产品蒸汽消耗□单位产品燃料气消耗□加热炉热效率□其他</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rPr>
                <w:rFonts w:hint="default" w:eastAsia="宋体"/>
                <w:lang w:val="en-US" w:eastAsia="zh-CN"/>
              </w:rPr>
            </w:pPr>
            <w:r>
              <w:rPr>
                <w:rFonts w:hint="eastAsia"/>
              </w:rPr>
              <w:t>□能源评审报告编号/日期：</w:t>
            </w:r>
            <w:r>
              <w:rPr>
                <w:rFonts w:hint="eastAsia"/>
                <w:lang w:val="en-US" w:eastAsia="zh-CN"/>
              </w:rPr>
              <w:t>2021.11</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lang w:eastAsia="zh-CN"/>
              </w:rPr>
              <w:t>☑</w:t>
            </w:r>
            <w:r>
              <w:rPr>
                <w:rFonts w:hint="eastAsia"/>
              </w:rPr>
              <w:t>能源计量管理</w:t>
            </w:r>
            <w:r>
              <w:rPr>
                <w:rFonts w:hint="eastAsia"/>
                <w:lang w:eastAsia="zh-CN"/>
              </w:rPr>
              <w:t>☑</w:t>
            </w:r>
            <w:r>
              <w:rPr>
                <w:rFonts w:hint="eastAsia"/>
              </w:rPr>
              <w:t>使用节能设备□主要耗能设备识别及能效测试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088"/>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节能目标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088"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2036"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lang w:val="en-US" w:eastAsia="zh-CN"/>
                    </w:rPr>
                  </w:pPr>
                  <w:r>
                    <w:rPr>
                      <w:rFonts w:hint="eastAsia"/>
                      <w:lang w:val="en-US" w:eastAsia="zh-CN"/>
                    </w:rPr>
                    <w:t>橡胶件单位产品能耗≦1.76kgce/kg；</w:t>
                  </w:r>
                </w:p>
                <w:p>
                  <w:pPr>
                    <w:shd w:val="clear" w:color="auto" w:fill="EBF1DE" w:themeFill="accent3" w:themeFillTint="32"/>
                  </w:pPr>
                  <w:r>
                    <w:rPr>
                      <w:rFonts w:hint="eastAsia"/>
                      <w:lang w:val="en-US" w:eastAsia="zh-CN"/>
                    </w:rPr>
                    <w:t>TPV件单位产品能耗≦1.72kgce/kg。</w:t>
                  </w:r>
                </w:p>
              </w:tc>
              <w:tc>
                <w:tcPr>
                  <w:tcW w:w="3136" w:type="dxa"/>
                  <w:shd w:val="clear" w:color="auto" w:fill="auto"/>
                  <w:vAlign w:val="center"/>
                </w:tcPr>
                <w:p>
                  <w:pPr>
                    <w:shd w:val="clear" w:color="auto" w:fill="EBF1DE" w:themeFill="accent3" w:themeFillTint="32"/>
                    <w:rPr>
                      <w:lang w:val="en-GB"/>
                    </w:rPr>
                  </w:pPr>
                  <w:r>
                    <w:rPr>
                      <w:rFonts w:hint="eastAsia"/>
                      <w:lang w:val="en-US" w:eastAsia="zh-CN"/>
                    </w:rPr>
                    <w:t>加强生产管理，保持生产稳定；避免经常停车，进行大规模批量生产</w:t>
                  </w:r>
                </w:p>
              </w:tc>
              <w:tc>
                <w:tcPr>
                  <w:tcW w:w="1088"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生产部</w:t>
                  </w:r>
                </w:p>
              </w:tc>
              <w:tc>
                <w:tcPr>
                  <w:tcW w:w="2036" w:type="dxa"/>
                  <w:shd w:val="clear" w:color="auto" w:fill="auto"/>
                  <w:vAlign w:val="center"/>
                </w:tcPr>
                <w:p>
                  <w:pPr>
                    <w:shd w:val="clear" w:color="auto" w:fill="EBF1DE" w:themeFill="accent3" w:themeFillTint="32"/>
                    <w:jc w:val="center"/>
                    <w:rPr>
                      <w:rFonts w:hint="default"/>
                      <w:lang w:val="en-US" w:eastAsia="zh-CN"/>
                    </w:rPr>
                  </w:pPr>
                  <w:r>
                    <w:rPr>
                      <w:rFonts w:hint="default"/>
                      <w:lang w:val="en-US" w:eastAsia="zh-CN"/>
                    </w:rPr>
                    <w:t>橡胶件单位产品能耗1.60kgce/kg；</w:t>
                  </w:r>
                </w:p>
                <w:p>
                  <w:pPr>
                    <w:shd w:val="clear" w:color="auto" w:fill="EBF1DE" w:themeFill="accent3" w:themeFillTint="32"/>
                    <w:jc w:val="center"/>
                    <w:rPr>
                      <w:rFonts w:ascii="宋体" w:hAnsi="宋体"/>
                      <w:lang w:val="en-GB"/>
                    </w:rPr>
                  </w:pPr>
                  <w:r>
                    <w:rPr>
                      <w:rFonts w:hint="default"/>
                      <w:lang w:val="en-US" w:eastAsia="zh-CN"/>
                    </w:rPr>
                    <w:t>TPV件单位产品能耗1.61kgce/kg。</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lang w:eastAsia="zh-CN"/>
              </w:rPr>
              <w:t>☑</w:t>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建筑面积12017.25平方米；生产车间</w:t>
            </w:r>
            <w:r>
              <w:rPr>
                <w:rFonts w:hint="eastAsia"/>
                <w:lang w:val="en-US" w:eastAsia="zh-CN"/>
              </w:rPr>
              <w:t>2</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shd w:val="clear" w:color="auto" w:fill="EBF1DE" w:themeFill="accent3" w:themeFillTint="32"/>
              <w:rPr>
                <w:u w:val="single"/>
              </w:rPr>
            </w:pPr>
            <w:r>
              <w:rPr>
                <w:rFonts w:hint="eastAsia"/>
              </w:rPr>
              <w:t>主要生产设备有：</w:t>
            </w:r>
            <w:r>
              <w:rPr>
                <w:rFonts w:hint="eastAsia" w:eastAsia="宋体"/>
                <w:u w:val="single"/>
              </w:rPr>
              <w:t>单头注射机</w:t>
            </w:r>
            <w:r>
              <w:rPr>
                <w:rFonts w:hint="eastAsia" w:eastAsia="宋体"/>
                <w:u w:val="single"/>
                <w:lang w:eastAsia="zh-CN"/>
              </w:rPr>
              <w:t>、主挤出机、塑料注射机、塑料挤出机</w:t>
            </w:r>
            <w:r>
              <w:rPr>
                <w:rFonts w:hint="eastAsia" w:eastAsia="宋体"/>
                <w:u w:val="single"/>
              </w:rPr>
              <w:t>（</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eastAsia="宋体"/>
                <w:u w:val="single"/>
                <w:lang w:val="en-US" w:eastAsia="zh-CN"/>
              </w:rPr>
              <w:t>空压机、捏炼机</w:t>
            </w:r>
            <w:r>
              <w:rPr>
                <w:rFonts w:hint="eastAsia" w:eastAsia="宋体"/>
                <w:u w:val="single"/>
              </w:rPr>
              <w:t>（</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能源计量器具有：</w:t>
            </w:r>
            <w:r>
              <w:rPr>
                <w:rFonts w:hint="eastAsia"/>
                <w:lang w:val="en-US" w:eastAsia="zh-CN"/>
              </w:rPr>
              <w:t>水表、电表</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r>
              <w:rPr>
                <w:rFonts w:hint="eastAsia"/>
                <w:lang w:val="en-US" w:eastAsia="zh-CN"/>
              </w:rPr>
              <w:t>水表和电表都由供应单位进行管理和维护。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组织为满足节能管理的要求，已对用能过程建立了相应的运行准则；按照运行准则实施过程控制。策划文件包括：</w:t>
            </w:r>
          </w:p>
          <w:p>
            <w:pPr>
              <w:shd w:val="clear" w:color="auto" w:fill="EBF1DE" w:themeFill="accent3" w:themeFillTint="32"/>
            </w:pPr>
            <w:r>
              <w:rPr>
                <w:rFonts w:hint="eastAsia" w:ascii="Times New Roman" w:hAnsi="Times New Roman" w:eastAsia="宋体" w:cs="Times New Roman"/>
                <w:lang w:eastAsia="zh-CN"/>
              </w:rPr>
              <w:t>☑</w:t>
            </w:r>
            <w:r>
              <w:rPr>
                <w:rFonts w:hint="eastAsia" w:ascii="Times New Roman" w:hAnsi="Times New Roman" w:eastAsia="宋体" w:cs="Times New Roman"/>
              </w:rPr>
              <w:t>操作规程</w:t>
            </w:r>
            <w:r>
              <w:rPr>
                <w:rFonts w:hint="eastAsia" w:ascii="Times New Roman" w:hAnsi="Times New Roman" w:eastAsia="宋体" w:cs="Times New Roman"/>
                <w:lang w:eastAsia="zh-CN"/>
              </w:rPr>
              <w:t>☑</w:t>
            </w:r>
            <w:r>
              <w:rPr>
                <w:rFonts w:hint="eastAsia" w:ascii="Times New Roman" w:hAnsi="Times New Roman" w:eastAsia="宋体" w:cs="Times New Roman"/>
              </w:rPr>
              <w:t>作业文件</w:t>
            </w:r>
            <w:r>
              <w:rPr>
                <w:rFonts w:hint="eastAsia" w:ascii="Times New Roman" w:hAnsi="Times New Roman" w:eastAsia="宋体" w:cs="Times New Roman"/>
                <w:lang w:eastAsia="zh-CN"/>
              </w:rPr>
              <w:t>☑</w:t>
            </w:r>
            <w:r>
              <w:rPr>
                <w:rFonts w:hint="eastAsia" w:ascii="Times New Roman" w:hAnsi="Times New Roman" w:eastAsia="宋体" w:cs="Times New Roman"/>
              </w:rPr>
              <w:t>工艺卡片</w:t>
            </w:r>
            <w:r>
              <w:rPr>
                <w:rFonts w:hint="eastAsia" w:ascii="Times New Roman" w:hAnsi="Times New Roman" w:eastAsia="宋体" w:cs="Times New Roman"/>
                <w:lang w:eastAsia="zh-CN"/>
              </w:rPr>
              <w:t>☑</w:t>
            </w:r>
            <w:r>
              <w:rPr>
                <w:rFonts w:hint="eastAsia" w:ascii="Times New Roman" w:hAnsi="Times New Roman" w:eastAsia="宋体" w:cs="Times New Roman"/>
              </w:rPr>
              <w:t>接收准则</w:t>
            </w:r>
            <w:r>
              <w:rPr>
                <w:rFonts w:hint="eastAsia" w:ascii="Times New Roman" w:hAnsi="Times New Roman" w:eastAsia="宋体" w:cs="Times New Roman"/>
                <w:lang w:eastAsia="zh-CN"/>
              </w:rPr>
              <w:t>☑</w:t>
            </w:r>
            <w:r>
              <w:rPr>
                <w:rFonts w:hint="eastAsia" w:ascii="Times New Roman" w:hAnsi="Times New Roman" w:eastAsia="宋体" w:cs="Times New Roman"/>
              </w:rPr>
              <w:t>工艺流程图</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lang w:val="en-US" w:eastAsia="zh-CN"/>
              </w:rPr>
              <w:t>无</w:t>
            </w:r>
            <w:r>
              <w:rPr>
                <w:rFonts w:hint="eastAsia"/>
                <w:u w:val="single"/>
              </w:rPr>
              <w:t>（</w:t>
            </w:r>
            <w:r>
              <w:rPr>
                <w:rFonts w:hint="eastAsia"/>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lang w:eastAsia="zh-CN"/>
              </w:rPr>
              <w:t>☑</w:t>
            </w:r>
            <w:r>
              <w:rPr>
                <w:rFonts w:hint="eastAsia"/>
              </w:rPr>
              <w:t>能源采购</w:t>
            </w:r>
            <w:r>
              <w:rPr>
                <w:rFonts w:hint="eastAsia"/>
                <w:lang w:eastAsia="zh-CN"/>
              </w:rPr>
              <w:t>□</w:t>
            </w:r>
            <w:r>
              <w:rPr>
                <w:rFonts w:hint="eastAsia"/>
              </w:rPr>
              <w:t>主要用能设备采购</w:t>
            </w:r>
            <w:r>
              <w:rPr>
                <w:rFonts w:hint="eastAsia"/>
                <w:lang w:eastAsia="zh-CN"/>
              </w:rPr>
              <w:t>□</w:t>
            </w:r>
            <w:r>
              <w:rPr>
                <w:rFonts w:hint="eastAsia"/>
              </w:rPr>
              <w:t>淘汰落后设备更新</w:t>
            </w:r>
            <w:r>
              <w:rPr>
                <w:rFonts w:hint="eastAsia"/>
                <w:lang w:eastAsia="zh-CN"/>
              </w:rPr>
              <w:t>☑</w:t>
            </w:r>
            <w:r>
              <w:rPr>
                <w:rFonts w:hint="eastAsia"/>
              </w:rPr>
              <w:t>能源计量器具采购</w:t>
            </w:r>
            <w:r>
              <w:rPr>
                <w:rFonts w:hint="eastAsia"/>
                <w:lang w:eastAsia="zh-CN"/>
              </w:rPr>
              <w:t>□</w:t>
            </w:r>
            <w:r>
              <w:rPr>
                <w:rFonts w:hint="eastAsia"/>
              </w:rPr>
              <w:t>其他</w:t>
            </w:r>
          </w:p>
          <w:p>
            <w:pPr>
              <w:shd w:val="clear" w:color="auto" w:fill="EBF1DE" w:themeFill="accent3" w:themeFillTint="32"/>
              <w:jc w:val="left"/>
            </w:pPr>
            <w:r>
              <w:rPr>
                <w:rFonts w:hint="eastAsia"/>
              </w:rPr>
              <w:t>控制方式：</w:t>
            </w:r>
            <w:r>
              <w:rPr>
                <w:rFonts w:hint="eastAsia"/>
                <w:lang w:eastAsia="zh-CN"/>
              </w:rPr>
              <w:t>□</w:t>
            </w:r>
            <w:r>
              <w:rPr>
                <w:rFonts w:hint="eastAsia"/>
              </w:rPr>
              <w:t>合同约定</w:t>
            </w:r>
            <w:r>
              <w:rPr>
                <w:rFonts w:hint="eastAsia"/>
                <w:lang w:eastAsia="zh-CN"/>
              </w:rPr>
              <w:t>□</w:t>
            </w:r>
            <w:r>
              <w:rPr>
                <w:rFonts w:hint="eastAsia"/>
              </w:rPr>
              <w:t>现场检查</w:t>
            </w:r>
            <w:r>
              <w:rPr>
                <w:rFonts w:hint="eastAsia"/>
                <w:lang w:eastAsia="zh-CN"/>
              </w:rPr>
              <w:t>□</w:t>
            </w:r>
            <w:r>
              <w:rPr>
                <w:rFonts w:hint="eastAsia"/>
              </w:rPr>
              <w:t>其他</w:t>
            </w:r>
          </w:p>
          <w:p>
            <w:pPr>
              <w:shd w:val="clear" w:color="auto" w:fill="EBF1DE" w:themeFill="accent3" w:themeFillTint="32"/>
              <w:jc w:val="left"/>
              <w:rPr>
                <w:rFonts w:hint="eastAsia"/>
              </w:rPr>
            </w:pPr>
            <w:r>
              <w:rPr>
                <w:rFonts w:hint="eastAsia"/>
              </w:rPr>
              <w:t>对外部供方的控制：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利用配套的电机，节约用电。</w:t>
                  </w:r>
                </w:p>
              </w:tc>
              <w:tc>
                <w:tcPr>
                  <w:tcW w:w="3265" w:type="dxa"/>
                </w:tcPr>
                <w:p>
                  <w:pPr>
                    <w:shd w:val="clear" w:color="auto" w:fill="EBF1DE" w:themeFill="accent3" w:themeFillTint="32"/>
                    <w:jc w:val="left"/>
                  </w:pPr>
                  <w:r>
                    <w:rPr>
                      <w:rFonts w:hint="eastAsia"/>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rPr>
                      <w:rFonts w:hint="eastAsia" w:eastAsia="宋体"/>
                      <w:lang w:val="en-US" w:eastAsia="zh-CN"/>
                    </w:rPr>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节能技术的实施</w:t>
            </w:r>
            <w:r>
              <w:rPr>
                <w:rFonts w:hint="eastAsia" w:ascii="Wingdings" w:hAnsi="Wingdings"/>
                <w:lang w:eastAsia="zh-CN"/>
              </w:rPr>
              <w:t>□</w:t>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default" w:eastAsia="宋体"/>
                <w:lang w:val="en-US" w:eastAsia="zh-CN"/>
              </w:rPr>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2021年6月20号</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5-6</w:t>
            </w:r>
            <w:r>
              <w:rPr>
                <w:rFonts w:hint="eastAsia"/>
              </w:rPr>
              <w:t>日实施了能源管理体系内部审核，对能源管理体系的符合性和有效性进行了审核。内审发现的项不符合在本次审核前已完成整改。在公司内完成的这些审核是可信的。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bookmarkStart w:id="35" w:name="_GoBack"/>
            <w:bookmarkEnd w:id="35"/>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20</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tbl>
      <w:tblPr>
        <w:tblStyle w:val="8"/>
        <w:tblpPr w:leftFromText="180" w:rightFromText="180" w:vertAnchor="text" w:horzAnchor="page" w:tblpX="1107" w:tblpY="273"/>
        <w:tblOverlap w:val="never"/>
        <w:tblW w:w="9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51"/>
        <w:gridCol w:w="751"/>
        <w:gridCol w:w="751"/>
        <w:gridCol w:w="751"/>
        <w:gridCol w:w="751"/>
        <w:gridCol w:w="751"/>
        <w:gridCol w:w="751"/>
        <w:gridCol w:w="751"/>
        <w:gridCol w:w="751"/>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51"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51"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51"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51"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51"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51"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51"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51"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51"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56"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5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51"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5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5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5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5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5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5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5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56"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51" w:type="dxa"/>
            <w:shd w:val="clear" w:color="auto" w:fill="EBF1DE" w:themeFill="accent3" w:themeFillTint="32"/>
            <w:vAlign w:val="center"/>
          </w:tcPr>
          <w:p>
            <w:pPr>
              <w:shd w:val="clear" w:color="auto" w:fill="EBF1DE" w:themeFill="accent3" w:themeFillTint="32"/>
              <w:rPr>
                <w:lang w:eastAsia="ja-JP"/>
              </w:rPr>
            </w:pPr>
          </w:p>
        </w:tc>
        <w:tc>
          <w:tcPr>
            <w:tcW w:w="751" w:type="dxa"/>
            <w:shd w:val="clear" w:color="auto" w:fill="EBF1DE" w:themeFill="accent3" w:themeFillTint="32"/>
          </w:tcPr>
          <w:p>
            <w:pPr>
              <w:shd w:val="clear" w:color="auto" w:fill="EBF1DE" w:themeFill="accent3" w:themeFillTint="32"/>
              <w:rPr>
                <w:lang w:eastAsia="ja-JP"/>
              </w:rPr>
            </w:pPr>
          </w:p>
        </w:tc>
        <w:tc>
          <w:tcPr>
            <w:tcW w:w="751" w:type="dxa"/>
            <w:shd w:val="clear" w:color="auto" w:fill="EBF1DE" w:themeFill="accent3" w:themeFillTint="32"/>
            <w:vAlign w:val="center"/>
          </w:tcPr>
          <w:p>
            <w:pPr>
              <w:shd w:val="clear" w:color="auto" w:fill="EBF1DE" w:themeFill="accent3" w:themeFillTint="32"/>
              <w:rPr>
                <w:lang w:eastAsia="ja-JP"/>
              </w:rPr>
            </w:pPr>
          </w:p>
        </w:tc>
        <w:tc>
          <w:tcPr>
            <w:tcW w:w="751" w:type="dxa"/>
            <w:shd w:val="clear" w:color="auto" w:fill="EBF1DE" w:themeFill="accent3" w:themeFillTint="32"/>
            <w:vAlign w:val="center"/>
          </w:tcPr>
          <w:p>
            <w:pPr>
              <w:shd w:val="clear" w:color="auto" w:fill="EBF1DE" w:themeFill="accent3" w:themeFillTint="32"/>
              <w:rPr>
                <w:lang w:eastAsia="ja-JP"/>
              </w:rPr>
            </w:pPr>
          </w:p>
        </w:tc>
        <w:tc>
          <w:tcPr>
            <w:tcW w:w="751" w:type="dxa"/>
            <w:shd w:val="clear" w:color="auto" w:fill="EBF1DE" w:themeFill="accent3" w:themeFillTint="32"/>
            <w:vAlign w:val="center"/>
          </w:tcPr>
          <w:p>
            <w:pPr>
              <w:shd w:val="clear" w:color="auto" w:fill="EBF1DE" w:themeFill="accent3" w:themeFillTint="32"/>
              <w:rPr>
                <w:lang w:eastAsia="ja-JP"/>
              </w:rPr>
            </w:pPr>
          </w:p>
        </w:tc>
        <w:tc>
          <w:tcPr>
            <w:tcW w:w="751" w:type="dxa"/>
            <w:shd w:val="clear" w:color="auto" w:fill="EBF1DE" w:themeFill="accent3" w:themeFillTint="32"/>
            <w:vAlign w:val="center"/>
          </w:tcPr>
          <w:p>
            <w:pPr>
              <w:shd w:val="clear" w:color="auto" w:fill="EBF1DE" w:themeFill="accent3" w:themeFillTint="32"/>
              <w:rPr>
                <w:lang w:eastAsia="ja-JP"/>
              </w:rPr>
            </w:pPr>
          </w:p>
        </w:tc>
        <w:tc>
          <w:tcPr>
            <w:tcW w:w="751" w:type="dxa"/>
            <w:shd w:val="clear" w:color="auto" w:fill="EBF1DE" w:themeFill="accent3" w:themeFillTint="32"/>
            <w:vAlign w:val="center"/>
          </w:tcPr>
          <w:p>
            <w:pPr>
              <w:shd w:val="clear" w:color="auto" w:fill="EBF1DE" w:themeFill="accent3" w:themeFillTint="32"/>
              <w:rPr>
                <w:lang w:eastAsia="ja-JP"/>
              </w:rPr>
            </w:pPr>
          </w:p>
        </w:tc>
        <w:tc>
          <w:tcPr>
            <w:tcW w:w="751" w:type="dxa"/>
            <w:shd w:val="clear" w:color="auto" w:fill="EBF1DE" w:themeFill="accent3" w:themeFillTint="32"/>
            <w:vAlign w:val="center"/>
          </w:tcPr>
          <w:p>
            <w:pPr>
              <w:shd w:val="clear" w:color="auto" w:fill="EBF1DE" w:themeFill="accent3" w:themeFillTint="32"/>
              <w:rPr>
                <w:lang w:eastAsia="ja-JP"/>
              </w:rPr>
            </w:pPr>
          </w:p>
        </w:tc>
        <w:tc>
          <w:tcPr>
            <w:tcW w:w="751" w:type="dxa"/>
            <w:shd w:val="clear" w:color="auto" w:fill="EBF1DE" w:themeFill="accent3" w:themeFillTint="32"/>
            <w:vAlign w:val="center"/>
          </w:tcPr>
          <w:p>
            <w:pPr>
              <w:shd w:val="clear" w:color="auto" w:fill="EBF1DE" w:themeFill="accent3" w:themeFillTint="32"/>
              <w:rPr>
                <w:lang w:eastAsia="ja-JP"/>
              </w:rPr>
            </w:pPr>
          </w:p>
        </w:tc>
        <w:tc>
          <w:tcPr>
            <w:tcW w:w="756"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51"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51"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51"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51"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51" w:type="dxa"/>
            <w:shd w:val="clear" w:color="auto" w:fill="EBF1DE" w:themeFill="accent3" w:themeFillTint="32"/>
            <w:vAlign w:val="center"/>
          </w:tcPr>
          <w:p>
            <w:pPr>
              <w:shd w:val="clear" w:color="auto" w:fill="EBF1DE" w:themeFill="accent3" w:themeFillTint="32"/>
            </w:pPr>
            <w:r>
              <w:rPr>
                <w:rFonts w:hint="eastAsia"/>
              </w:rPr>
              <w:t>7.2</w:t>
            </w:r>
          </w:p>
        </w:tc>
        <w:tc>
          <w:tcPr>
            <w:tcW w:w="751" w:type="dxa"/>
            <w:shd w:val="clear" w:color="auto" w:fill="EBF1DE" w:themeFill="accent3" w:themeFillTint="32"/>
            <w:vAlign w:val="center"/>
          </w:tcPr>
          <w:p>
            <w:pPr>
              <w:shd w:val="clear" w:color="auto" w:fill="EBF1DE" w:themeFill="accent3" w:themeFillTint="32"/>
            </w:pPr>
            <w:r>
              <w:rPr>
                <w:rFonts w:hint="eastAsia"/>
              </w:rPr>
              <w:t>7.3</w:t>
            </w:r>
          </w:p>
        </w:tc>
        <w:tc>
          <w:tcPr>
            <w:tcW w:w="751" w:type="dxa"/>
            <w:shd w:val="clear" w:color="auto" w:fill="EBF1DE" w:themeFill="accent3" w:themeFillTint="32"/>
            <w:vAlign w:val="center"/>
          </w:tcPr>
          <w:p>
            <w:pPr>
              <w:shd w:val="clear" w:color="auto" w:fill="EBF1DE" w:themeFill="accent3" w:themeFillTint="32"/>
            </w:pPr>
            <w:r>
              <w:rPr>
                <w:rFonts w:hint="eastAsia"/>
              </w:rPr>
              <w:t>7.4</w:t>
            </w:r>
          </w:p>
        </w:tc>
        <w:tc>
          <w:tcPr>
            <w:tcW w:w="751" w:type="dxa"/>
            <w:shd w:val="clear" w:color="auto" w:fill="EBF1DE" w:themeFill="accent3" w:themeFillTint="32"/>
            <w:vAlign w:val="center"/>
          </w:tcPr>
          <w:p>
            <w:pPr>
              <w:shd w:val="clear" w:color="auto" w:fill="EBF1DE" w:themeFill="accent3" w:themeFillTint="32"/>
            </w:pPr>
            <w:r>
              <w:rPr>
                <w:rFonts w:hint="eastAsia"/>
              </w:rPr>
              <w:t>7.5</w:t>
            </w:r>
          </w:p>
        </w:tc>
        <w:tc>
          <w:tcPr>
            <w:tcW w:w="751"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56"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51"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1"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1"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1"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1"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1"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1"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1"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1"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6"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51" w:type="dxa"/>
            <w:shd w:val="clear" w:color="auto" w:fill="EBF1DE" w:themeFill="accent3" w:themeFillTint="32"/>
            <w:vAlign w:val="center"/>
          </w:tcPr>
          <w:p>
            <w:pPr>
              <w:shd w:val="clear" w:color="auto" w:fill="EBF1DE" w:themeFill="accent3" w:themeFillTint="32"/>
            </w:pPr>
          </w:p>
        </w:tc>
        <w:tc>
          <w:tcPr>
            <w:tcW w:w="751" w:type="dxa"/>
            <w:shd w:val="clear" w:color="auto" w:fill="EBF1DE" w:themeFill="accent3" w:themeFillTint="32"/>
            <w:vAlign w:val="center"/>
          </w:tcPr>
          <w:p>
            <w:pPr>
              <w:shd w:val="clear" w:color="auto" w:fill="EBF1DE" w:themeFill="accent3" w:themeFillTint="32"/>
              <w:rPr>
                <w:lang w:eastAsia="ja-JP"/>
              </w:rPr>
            </w:pPr>
          </w:p>
        </w:tc>
        <w:tc>
          <w:tcPr>
            <w:tcW w:w="751" w:type="dxa"/>
            <w:shd w:val="clear" w:color="auto" w:fill="EBF1DE" w:themeFill="accent3" w:themeFillTint="32"/>
            <w:vAlign w:val="center"/>
          </w:tcPr>
          <w:p>
            <w:pPr>
              <w:shd w:val="clear" w:color="auto" w:fill="EBF1DE" w:themeFill="accent3" w:themeFillTint="32"/>
              <w:rPr>
                <w:lang w:eastAsia="ja-JP"/>
              </w:rPr>
            </w:pPr>
          </w:p>
        </w:tc>
        <w:tc>
          <w:tcPr>
            <w:tcW w:w="751" w:type="dxa"/>
            <w:shd w:val="clear" w:color="auto" w:fill="EBF1DE" w:themeFill="accent3" w:themeFillTint="32"/>
            <w:vAlign w:val="center"/>
          </w:tcPr>
          <w:p>
            <w:pPr>
              <w:shd w:val="clear" w:color="auto" w:fill="EBF1DE" w:themeFill="accent3" w:themeFillTint="32"/>
              <w:rPr>
                <w:lang w:eastAsia="ja-JP"/>
              </w:rPr>
            </w:pPr>
          </w:p>
        </w:tc>
        <w:tc>
          <w:tcPr>
            <w:tcW w:w="751" w:type="dxa"/>
            <w:shd w:val="clear" w:color="auto" w:fill="EBF1DE" w:themeFill="accent3" w:themeFillTint="32"/>
            <w:vAlign w:val="center"/>
          </w:tcPr>
          <w:p>
            <w:pPr>
              <w:shd w:val="clear" w:color="auto" w:fill="EBF1DE" w:themeFill="accent3" w:themeFillTint="32"/>
              <w:rPr>
                <w:lang w:eastAsia="ja-JP"/>
              </w:rPr>
            </w:pPr>
          </w:p>
        </w:tc>
        <w:tc>
          <w:tcPr>
            <w:tcW w:w="751" w:type="dxa"/>
            <w:shd w:val="clear" w:color="auto" w:fill="EBF1DE" w:themeFill="accent3" w:themeFillTint="32"/>
            <w:vAlign w:val="center"/>
          </w:tcPr>
          <w:p>
            <w:pPr>
              <w:shd w:val="clear" w:color="auto" w:fill="EBF1DE" w:themeFill="accent3" w:themeFillTint="32"/>
              <w:rPr>
                <w:lang w:eastAsia="ja-JP"/>
              </w:rPr>
            </w:pPr>
          </w:p>
        </w:tc>
        <w:tc>
          <w:tcPr>
            <w:tcW w:w="751" w:type="dxa"/>
            <w:shd w:val="clear" w:color="auto" w:fill="EBF1DE" w:themeFill="accent3" w:themeFillTint="32"/>
            <w:vAlign w:val="center"/>
          </w:tcPr>
          <w:p>
            <w:pPr>
              <w:shd w:val="clear" w:color="auto" w:fill="EBF1DE" w:themeFill="accent3" w:themeFillTint="32"/>
              <w:rPr>
                <w:lang w:eastAsia="ja-JP"/>
              </w:rPr>
            </w:pPr>
          </w:p>
        </w:tc>
        <w:tc>
          <w:tcPr>
            <w:tcW w:w="751" w:type="dxa"/>
            <w:shd w:val="clear" w:color="auto" w:fill="EBF1DE" w:themeFill="accent3" w:themeFillTint="32"/>
            <w:vAlign w:val="center"/>
          </w:tcPr>
          <w:p>
            <w:pPr>
              <w:shd w:val="clear" w:color="auto" w:fill="EBF1DE" w:themeFill="accent3" w:themeFillTint="32"/>
              <w:rPr>
                <w:lang w:eastAsia="ja-JP"/>
              </w:rPr>
            </w:pPr>
          </w:p>
        </w:tc>
        <w:tc>
          <w:tcPr>
            <w:tcW w:w="751" w:type="dxa"/>
            <w:shd w:val="clear" w:color="auto" w:fill="EBF1DE" w:themeFill="accent3" w:themeFillTint="32"/>
            <w:vAlign w:val="center"/>
          </w:tcPr>
          <w:p>
            <w:pPr>
              <w:shd w:val="clear" w:color="auto" w:fill="EBF1DE" w:themeFill="accent3" w:themeFillTint="32"/>
              <w:rPr>
                <w:lang w:eastAsia="ja-JP"/>
              </w:rPr>
            </w:pPr>
          </w:p>
        </w:tc>
        <w:tc>
          <w:tcPr>
            <w:tcW w:w="756"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51" w:type="dxa"/>
            <w:shd w:val="clear" w:color="auto" w:fill="EBF1DE" w:themeFill="accent3" w:themeFillTint="32"/>
            <w:vAlign w:val="center"/>
          </w:tcPr>
          <w:p>
            <w:pPr>
              <w:shd w:val="clear" w:color="auto" w:fill="EBF1DE" w:themeFill="accent3" w:themeFillTint="32"/>
            </w:pPr>
            <w:r>
              <w:rPr>
                <w:rFonts w:hint="eastAsia"/>
              </w:rPr>
              <w:t>8.3</w:t>
            </w:r>
          </w:p>
        </w:tc>
        <w:tc>
          <w:tcPr>
            <w:tcW w:w="751"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51"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51"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51"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51" w:type="dxa"/>
            <w:shd w:val="clear" w:color="auto" w:fill="EBF1DE" w:themeFill="accent3" w:themeFillTint="32"/>
            <w:vAlign w:val="center"/>
          </w:tcPr>
          <w:p>
            <w:pPr>
              <w:shd w:val="clear" w:color="auto" w:fill="EBF1DE" w:themeFill="accent3" w:themeFillTint="32"/>
              <w:rPr>
                <w:lang w:eastAsia="ja-JP"/>
              </w:rPr>
            </w:pPr>
          </w:p>
        </w:tc>
        <w:tc>
          <w:tcPr>
            <w:tcW w:w="751" w:type="dxa"/>
            <w:shd w:val="clear" w:color="auto" w:fill="EBF1DE" w:themeFill="accent3" w:themeFillTint="32"/>
            <w:vAlign w:val="center"/>
          </w:tcPr>
          <w:p>
            <w:pPr>
              <w:shd w:val="clear" w:color="auto" w:fill="EBF1DE" w:themeFill="accent3" w:themeFillTint="32"/>
              <w:rPr>
                <w:lang w:eastAsia="ja-JP"/>
              </w:rPr>
            </w:pPr>
          </w:p>
        </w:tc>
        <w:tc>
          <w:tcPr>
            <w:tcW w:w="751" w:type="dxa"/>
            <w:shd w:val="clear" w:color="auto" w:fill="EBF1DE" w:themeFill="accent3" w:themeFillTint="32"/>
            <w:vAlign w:val="center"/>
          </w:tcPr>
          <w:p>
            <w:pPr>
              <w:shd w:val="clear" w:color="auto" w:fill="EBF1DE" w:themeFill="accent3" w:themeFillTint="32"/>
              <w:rPr>
                <w:lang w:eastAsia="ja-JP"/>
              </w:rPr>
            </w:pPr>
          </w:p>
        </w:tc>
        <w:tc>
          <w:tcPr>
            <w:tcW w:w="751" w:type="dxa"/>
            <w:shd w:val="clear" w:color="auto" w:fill="EBF1DE" w:themeFill="accent3" w:themeFillTint="32"/>
            <w:vAlign w:val="center"/>
          </w:tcPr>
          <w:p>
            <w:pPr>
              <w:shd w:val="clear" w:color="auto" w:fill="EBF1DE" w:themeFill="accent3" w:themeFillTint="32"/>
              <w:rPr>
                <w:lang w:eastAsia="ja-JP"/>
              </w:rPr>
            </w:pPr>
          </w:p>
        </w:tc>
        <w:tc>
          <w:tcPr>
            <w:tcW w:w="756"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51"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1"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1"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1"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1"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51"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p>
        </w:tc>
        <w:tc>
          <w:tcPr>
            <w:tcW w:w="751"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p>
        </w:tc>
        <w:tc>
          <w:tcPr>
            <w:tcW w:w="751"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p>
        </w:tc>
        <w:tc>
          <w:tcPr>
            <w:tcW w:w="751"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p>
        </w:tc>
        <w:tc>
          <w:tcPr>
            <w:tcW w:w="756"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51" w:type="dxa"/>
            <w:shd w:val="clear" w:color="auto" w:fill="EBF1DE" w:themeFill="accent3" w:themeFillTint="32"/>
            <w:vAlign w:val="center"/>
          </w:tcPr>
          <w:p>
            <w:pPr>
              <w:shd w:val="clear" w:color="auto" w:fill="EBF1DE" w:themeFill="accent3" w:themeFillTint="32"/>
              <w:rPr>
                <w:lang w:eastAsia="ja-JP"/>
              </w:rPr>
            </w:pPr>
          </w:p>
        </w:tc>
        <w:tc>
          <w:tcPr>
            <w:tcW w:w="751" w:type="dxa"/>
            <w:shd w:val="clear" w:color="auto" w:fill="EBF1DE" w:themeFill="accent3" w:themeFillTint="32"/>
          </w:tcPr>
          <w:p>
            <w:pPr>
              <w:shd w:val="clear" w:color="auto" w:fill="EBF1DE" w:themeFill="accent3" w:themeFillTint="32"/>
              <w:rPr>
                <w:lang w:eastAsia="ja-JP"/>
              </w:rPr>
            </w:pPr>
          </w:p>
        </w:tc>
        <w:tc>
          <w:tcPr>
            <w:tcW w:w="751" w:type="dxa"/>
            <w:shd w:val="clear" w:color="auto" w:fill="EBF1DE" w:themeFill="accent3" w:themeFillTint="32"/>
            <w:vAlign w:val="center"/>
          </w:tcPr>
          <w:p>
            <w:pPr>
              <w:shd w:val="clear" w:color="auto" w:fill="EBF1DE" w:themeFill="accent3" w:themeFillTint="32"/>
              <w:rPr>
                <w:lang w:eastAsia="ja-JP"/>
              </w:rPr>
            </w:pPr>
          </w:p>
        </w:tc>
        <w:tc>
          <w:tcPr>
            <w:tcW w:w="751" w:type="dxa"/>
            <w:shd w:val="clear" w:color="auto" w:fill="EBF1DE" w:themeFill="accent3" w:themeFillTint="32"/>
            <w:vAlign w:val="center"/>
          </w:tcPr>
          <w:p>
            <w:pPr>
              <w:shd w:val="clear" w:color="auto" w:fill="EBF1DE" w:themeFill="accent3" w:themeFillTint="32"/>
              <w:rPr>
                <w:lang w:eastAsia="ja-JP"/>
              </w:rPr>
            </w:pPr>
          </w:p>
        </w:tc>
        <w:tc>
          <w:tcPr>
            <w:tcW w:w="75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51" w:type="dxa"/>
            <w:shd w:val="clear" w:color="auto" w:fill="EBF1DE" w:themeFill="accent3" w:themeFillTint="32"/>
            <w:vAlign w:val="center"/>
          </w:tcPr>
          <w:p>
            <w:pPr>
              <w:shd w:val="clear" w:color="auto" w:fill="EBF1DE" w:themeFill="accent3" w:themeFillTint="32"/>
              <w:rPr>
                <w:lang w:eastAsia="ja-JP"/>
              </w:rPr>
            </w:pPr>
          </w:p>
        </w:tc>
        <w:tc>
          <w:tcPr>
            <w:tcW w:w="751" w:type="dxa"/>
            <w:shd w:val="clear" w:color="auto" w:fill="EBF1DE" w:themeFill="accent3" w:themeFillTint="32"/>
            <w:vAlign w:val="center"/>
          </w:tcPr>
          <w:p>
            <w:pPr>
              <w:shd w:val="clear" w:color="auto" w:fill="EBF1DE" w:themeFill="accent3" w:themeFillTint="32"/>
              <w:rPr>
                <w:lang w:eastAsia="ja-JP"/>
              </w:rPr>
            </w:pPr>
          </w:p>
        </w:tc>
        <w:tc>
          <w:tcPr>
            <w:tcW w:w="751" w:type="dxa"/>
            <w:shd w:val="clear" w:color="auto" w:fill="EBF1DE" w:themeFill="accent3" w:themeFillTint="32"/>
            <w:vAlign w:val="center"/>
          </w:tcPr>
          <w:p>
            <w:pPr>
              <w:shd w:val="clear" w:color="auto" w:fill="EBF1DE" w:themeFill="accent3" w:themeFillTint="32"/>
              <w:rPr>
                <w:lang w:eastAsia="ja-JP"/>
              </w:rPr>
            </w:pPr>
          </w:p>
        </w:tc>
        <w:tc>
          <w:tcPr>
            <w:tcW w:w="751" w:type="dxa"/>
            <w:shd w:val="clear" w:color="auto" w:fill="EBF1DE" w:themeFill="accent3" w:themeFillTint="32"/>
            <w:vAlign w:val="center"/>
          </w:tcPr>
          <w:p>
            <w:pPr>
              <w:shd w:val="clear" w:color="auto" w:fill="EBF1DE" w:themeFill="accent3" w:themeFillTint="32"/>
              <w:rPr>
                <w:lang w:eastAsia="ja-JP"/>
              </w:rPr>
            </w:pPr>
          </w:p>
        </w:tc>
        <w:tc>
          <w:tcPr>
            <w:tcW w:w="756"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E5565D4"/>
    <w:rsid w:val="1DE967B4"/>
    <w:rsid w:val="5B43610C"/>
    <w:rsid w:val="771E2E9A"/>
    <w:rsid w:val="79372652"/>
    <w:rsid w:val="7D2951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华文细黑"/>
      <w:sz w:val="24"/>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5</TotalTime>
  <ScaleCrop>false</ScaleCrop>
  <LinksUpToDate>false</LinksUpToDate>
  <CharactersWithSpaces>26902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2021-12-16T03:14:49Z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2052-11.1.0.10667</vt:lpwstr>
  </property>
</Properties>
</file>