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76"/>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ind w:firstLine="420" w:firstLineChars="200"/>
              <w:rPr>
                <w:rFonts w:hint="eastAsia" w:ascii="Times New Roman" w:hAnsi="Times New Roman" w:cs="Times New Roman"/>
                <w:color w:val="000000" w:themeColor="text1"/>
                <w:szCs w:val="22"/>
                <w:lang w:val="en-US" w:eastAsia="zh-CN"/>
              </w:rPr>
            </w:pPr>
            <w:r>
              <w:rPr>
                <w:rFonts w:hint="eastAsia" w:ascii="Times New Roman" w:hAnsi="Times New Roman" w:cs="Times New Roman"/>
                <w:color w:val="000000" w:themeColor="text1"/>
                <w:szCs w:val="22"/>
                <w:lang w:val="en-US" w:eastAsia="zh-CN"/>
              </w:rPr>
              <w:t>过程与活动、</w:t>
            </w:r>
          </w:p>
          <w:p>
            <w:pPr>
              <w:ind w:firstLine="420" w:firstLineChars="200"/>
              <w:rPr>
                <w:rFonts w:hint="eastAsia" w:ascii="Times New Roman" w:hAnsi="Times New Roman" w:cs="Times New Roman"/>
                <w:color w:val="000000" w:themeColor="text1"/>
                <w:szCs w:val="22"/>
                <w:lang w:val="en-US" w:eastAsia="zh-CN"/>
              </w:rPr>
            </w:pPr>
            <w:r>
              <w:rPr>
                <w:rFonts w:hint="eastAsia" w:ascii="Times New Roman" w:hAnsi="Times New Roman" w:cs="Times New Roman"/>
                <w:color w:val="000000" w:themeColor="text1"/>
                <w:szCs w:val="22"/>
                <w:lang w:val="en-US" w:eastAsia="zh-CN"/>
              </w:rPr>
              <w:t>抽样计划</w:t>
            </w:r>
          </w:p>
        </w:tc>
        <w:tc>
          <w:tcPr>
            <w:tcW w:w="960" w:type="dxa"/>
            <w:vMerge w:val="restart"/>
            <w:vAlign w:val="center"/>
          </w:tcPr>
          <w:p>
            <w:pPr>
              <w:jc w:val="center"/>
              <w:rPr>
                <w:rFonts w:hint="eastAsia" w:ascii="Times New Roman" w:hAnsi="Times New Roman" w:cs="Times New Roman"/>
                <w:color w:val="000000" w:themeColor="text1"/>
                <w:szCs w:val="22"/>
                <w:lang w:val="en-US" w:eastAsia="zh-CN"/>
              </w:rPr>
            </w:pPr>
            <w:r>
              <w:rPr>
                <w:rFonts w:hint="eastAsia" w:ascii="Times New Roman" w:hAnsi="Times New Roman" w:cs="Times New Roman"/>
                <w:color w:val="000000" w:themeColor="text1"/>
                <w:szCs w:val="22"/>
                <w:lang w:val="en-US" w:eastAsia="zh-CN"/>
              </w:rPr>
              <w:t>涉及</w:t>
            </w:r>
          </w:p>
          <w:p>
            <w:pPr>
              <w:jc w:val="center"/>
              <w:rPr>
                <w:rFonts w:hint="eastAsia" w:ascii="Times New Roman" w:hAnsi="Times New Roman" w:cs="Times New Roman"/>
                <w:color w:val="000000" w:themeColor="text1"/>
                <w:szCs w:val="22"/>
                <w:lang w:val="en-US" w:eastAsia="zh-CN"/>
              </w:rPr>
            </w:pPr>
            <w:r>
              <w:rPr>
                <w:rFonts w:hint="eastAsia" w:ascii="Times New Roman" w:hAnsi="Times New Roman" w:cs="Times New Roman"/>
                <w:color w:val="000000" w:themeColor="text1"/>
                <w:szCs w:val="22"/>
                <w:lang w:val="en-US" w:eastAsia="zh-CN"/>
              </w:rPr>
              <w:t>条款</w:t>
            </w:r>
          </w:p>
        </w:tc>
        <w:tc>
          <w:tcPr>
            <w:tcW w:w="10376" w:type="dxa"/>
            <w:vAlign w:val="center"/>
          </w:tcPr>
          <w:p>
            <w:pPr>
              <w:rPr>
                <w:rFonts w:hint="default" w:ascii="Times New Roman" w:hAnsi="Times New Roman" w:cs="Times New Roman"/>
                <w:color w:val="000000" w:themeColor="text1"/>
                <w:szCs w:val="22"/>
                <w:lang w:val="en-US" w:eastAsia="zh-CN"/>
              </w:rPr>
            </w:pPr>
            <w:r>
              <w:rPr>
                <w:rFonts w:hint="eastAsia" w:ascii="Times New Roman" w:hAnsi="Times New Roman" w:cs="Times New Roman"/>
                <w:color w:val="000000" w:themeColor="text1"/>
                <w:szCs w:val="22"/>
                <w:lang w:val="en-US" w:eastAsia="zh-CN"/>
              </w:rPr>
              <w:t>受审核部门：管理层    主管领导：</w:t>
            </w:r>
            <w:r>
              <w:rPr>
                <w:rFonts w:hint="eastAsia" w:cs="Times New Roman"/>
                <w:color w:val="000000" w:themeColor="text1"/>
                <w:szCs w:val="22"/>
                <w:lang w:val="en-US" w:eastAsia="zh-CN"/>
              </w:rPr>
              <w:t>杨从兵</w:t>
            </w:r>
            <w:r>
              <w:rPr>
                <w:rFonts w:hint="eastAsia" w:ascii="Times New Roman" w:hAnsi="Times New Roman" w:cs="Times New Roman"/>
                <w:color w:val="000000" w:themeColor="text1"/>
                <w:szCs w:val="22"/>
                <w:lang w:val="en-US" w:eastAsia="zh-CN"/>
              </w:rPr>
              <w:t xml:space="preserve">        陪同人员： </w:t>
            </w:r>
            <w:r>
              <w:rPr>
                <w:rFonts w:hint="eastAsia" w:cs="Times New Roman"/>
                <w:color w:val="000000" w:themeColor="text1"/>
                <w:szCs w:val="22"/>
                <w:lang w:val="en-US" w:eastAsia="zh-CN"/>
              </w:rPr>
              <w:t>许慧宇</w:t>
            </w:r>
          </w:p>
        </w:tc>
        <w:tc>
          <w:tcPr>
            <w:tcW w:w="1213" w:type="dxa"/>
            <w:vMerge w:val="restart"/>
            <w:vAlign w:val="center"/>
          </w:tcPr>
          <w:p>
            <w:pPr>
              <w:tabs>
                <w:tab w:val="center" w:pos="498"/>
              </w:tabs>
              <w:jc w:val="center"/>
              <w:rPr>
                <w:rFonts w:hint="eastAsia" w:ascii="Times New Roman" w:hAnsi="Times New Roman" w:cs="Times New Roman"/>
                <w:color w:val="000000" w:themeColor="text1"/>
                <w:szCs w:val="22"/>
                <w:lang w:val="en-US" w:eastAsia="zh-CN"/>
              </w:rPr>
            </w:pPr>
            <w:r>
              <w:rPr>
                <w:rFonts w:hint="eastAsia" w:ascii="Times New Roman" w:hAnsi="Times New Roman" w:cs="Times New Roman"/>
                <w:color w:val="000000" w:themeColor="text1"/>
                <w:szCs w:val="22"/>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376" w:type="dxa"/>
            <w:vAlign w:val="center"/>
          </w:tcPr>
          <w:p>
            <w:pPr>
              <w:rPr>
                <w:rFonts w:hint="default" w:ascii="Times New Roman" w:hAnsi="Times New Roman" w:cs="Times New Roman"/>
                <w:color w:val="000000" w:themeColor="text1"/>
                <w:szCs w:val="22"/>
                <w:lang w:val="en-US" w:eastAsia="zh-CN"/>
              </w:rPr>
            </w:pPr>
            <w:r>
              <w:rPr>
                <w:rFonts w:hint="eastAsia" w:ascii="Times New Roman" w:hAnsi="Times New Roman" w:cs="Times New Roman"/>
                <w:color w:val="000000" w:themeColor="text1"/>
                <w:szCs w:val="22"/>
                <w:lang w:val="en-US" w:eastAsia="zh-CN"/>
              </w:rPr>
              <w:t>审核员：王宁敏       审核时间：2021-</w:t>
            </w:r>
            <w:r>
              <w:rPr>
                <w:rFonts w:hint="eastAsia" w:cs="Times New Roman"/>
                <w:color w:val="000000" w:themeColor="text1"/>
                <w:szCs w:val="22"/>
                <w:lang w:val="en-US" w:eastAsia="zh-CN"/>
              </w:rPr>
              <w:t>12</w:t>
            </w:r>
            <w:r>
              <w:rPr>
                <w:rFonts w:hint="eastAsia" w:ascii="Times New Roman" w:hAnsi="Times New Roman" w:cs="Times New Roman"/>
                <w:color w:val="000000" w:themeColor="text1"/>
                <w:szCs w:val="22"/>
                <w:lang w:val="en-US" w:eastAsia="zh-CN"/>
              </w:rPr>
              <w:t>-</w:t>
            </w:r>
            <w:r>
              <w:rPr>
                <w:rFonts w:hint="eastAsia" w:cs="Times New Roman"/>
                <w:color w:val="000000" w:themeColor="text1"/>
                <w:szCs w:val="22"/>
                <w:lang w:val="en-US" w:eastAsia="zh-CN"/>
              </w:rPr>
              <w:t>10</w:t>
            </w:r>
            <w:r>
              <w:rPr>
                <w:rFonts w:hint="eastAsia" w:ascii="Times New Roman" w:hAnsi="Times New Roman" w:cs="Times New Roman"/>
                <w:color w:val="000000" w:themeColor="text1"/>
                <w:szCs w:val="22"/>
                <w:lang w:val="en-US" w:eastAsia="zh-CN"/>
              </w:rPr>
              <w:t xml:space="preserve">  13:30-17:00</w:t>
            </w:r>
          </w:p>
        </w:tc>
        <w:tc>
          <w:tcPr>
            <w:tcW w:w="1213"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376" w:type="dxa"/>
            <w:vAlign w:val="center"/>
          </w:tcPr>
          <w:p>
            <w:pPr>
              <w:rPr>
                <w:rFonts w:hint="default" w:ascii="Times New Roman" w:hAnsi="Times New Roman" w:cs="Times New Roman"/>
                <w:color w:val="000000" w:themeColor="text1"/>
                <w:szCs w:val="22"/>
                <w:lang w:val="en-US" w:eastAsia="zh-CN"/>
              </w:rPr>
            </w:pPr>
            <w:r>
              <w:rPr>
                <w:rFonts w:hint="eastAsia" w:ascii="Times New Roman" w:hAnsi="Times New Roman" w:cs="Times New Roman"/>
                <w:color w:val="000000" w:themeColor="text1"/>
                <w:szCs w:val="22"/>
                <w:lang w:val="en-US" w:eastAsia="zh-CN"/>
              </w:rPr>
              <w:t>审核条款： 4.1 理解组织及其所处的环境、4.2理解相关方的需求和期望、4.3 确定能源管理体系的范围、4.4 能源管理体系、5.1 领导作用和承诺、5.2 能源方针、5.3 组织的岗位、职责和权限、6.1 应对风险和机遇的措施、</w:t>
            </w:r>
            <w:r>
              <w:rPr>
                <w:rFonts w:hint="eastAsia" w:cs="Times New Roman"/>
                <w:color w:val="000000" w:themeColor="text1"/>
                <w:szCs w:val="22"/>
                <w:lang w:val="en-US" w:eastAsia="zh-CN"/>
              </w:rPr>
              <w:t>6.2目标及目标完成情况、</w:t>
            </w:r>
            <w:r>
              <w:rPr>
                <w:rFonts w:hint="eastAsia" w:ascii="Times New Roman" w:hAnsi="Times New Roman" w:cs="Times New Roman"/>
                <w:color w:val="000000" w:themeColor="text1"/>
                <w:szCs w:val="22"/>
                <w:lang w:val="en-US" w:eastAsia="zh-CN"/>
              </w:rPr>
              <w:t>7.1 资源、</w:t>
            </w:r>
            <w:r>
              <w:rPr>
                <w:rFonts w:hint="eastAsia" w:cs="Times New Roman"/>
                <w:color w:val="000000" w:themeColor="text1"/>
                <w:szCs w:val="22"/>
                <w:lang w:val="en-US" w:eastAsia="zh-CN"/>
              </w:rPr>
              <w:t>9.1.2适用法律法规识别与合规性评价、</w:t>
            </w:r>
            <w:r>
              <w:rPr>
                <w:rFonts w:hint="eastAsia" w:ascii="Times New Roman" w:hAnsi="Times New Roman" w:cs="Times New Roman"/>
                <w:color w:val="000000" w:themeColor="text1"/>
                <w:szCs w:val="22"/>
                <w:lang w:val="en-US" w:eastAsia="zh-CN"/>
              </w:rPr>
              <w:t>9.3 管理评审、</w:t>
            </w:r>
            <w:r>
              <w:rPr>
                <w:rFonts w:hint="eastAsia" w:cs="Times New Roman"/>
                <w:color w:val="000000" w:themeColor="text1"/>
                <w:szCs w:val="22"/>
                <w:lang w:val="en-US" w:eastAsia="zh-CN"/>
              </w:rPr>
              <w:t>10.1不符合纠正、</w:t>
            </w:r>
            <w:r>
              <w:rPr>
                <w:rFonts w:hint="eastAsia" w:ascii="Times New Roman" w:hAnsi="Times New Roman" w:cs="Times New Roman"/>
                <w:color w:val="000000" w:themeColor="text1"/>
                <w:szCs w:val="22"/>
                <w:lang w:val="en-US" w:eastAsia="zh-CN"/>
              </w:rPr>
              <w:t>10.2 持续改进。En :4.1/4.2/4.3/4.4/5.1/5.2/5.3/6.1/6.2/7.1/9.1.</w:t>
            </w:r>
            <w:r>
              <w:rPr>
                <w:rFonts w:hint="eastAsia" w:cs="Times New Roman"/>
                <w:color w:val="000000" w:themeColor="text1"/>
                <w:szCs w:val="22"/>
                <w:lang w:val="en-US" w:eastAsia="zh-CN"/>
              </w:rPr>
              <w:t>2</w:t>
            </w:r>
            <w:r>
              <w:rPr>
                <w:rFonts w:hint="eastAsia" w:ascii="Times New Roman" w:hAnsi="Times New Roman" w:cs="Times New Roman"/>
                <w:color w:val="000000" w:themeColor="text1"/>
                <w:szCs w:val="22"/>
                <w:lang w:val="en-US" w:eastAsia="zh-CN"/>
              </w:rPr>
              <w:t>/9.3/10.1/10.2</w:t>
            </w:r>
            <w:r>
              <w:rPr>
                <w:rFonts w:hint="eastAsia" w:cs="Times New Roman"/>
                <w:color w:val="000000" w:themeColor="text1"/>
                <w:szCs w:val="22"/>
                <w:lang w:val="en-US" w:eastAsia="zh-CN"/>
              </w:rPr>
              <w:t>.</w:t>
            </w:r>
          </w:p>
        </w:tc>
        <w:tc>
          <w:tcPr>
            <w:tcW w:w="1213"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color w:val="000000" w:themeColor="text1"/>
              </w:rPr>
            </w:pPr>
            <w:r>
              <w:rPr>
                <w:rFonts w:hint="eastAsia" w:ascii="Times New Roman" w:hAnsi="Times New Roman" w:cs="Times New Roman"/>
                <w:color w:val="000000" w:themeColor="text1"/>
                <w:szCs w:val="22"/>
                <w:lang w:val="en-US" w:eastAsia="zh-CN"/>
              </w:rPr>
              <w:t>了解公司基本情况</w:t>
            </w:r>
          </w:p>
        </w:tc>
        <w:tc>
          <w:tcPr>
            <w:tcW w:w="960" w:type="dxa"/>
          </w:tcPr>
          <w:p>
            <w:pPr>
              <w:rPr>
                <w:color w:val="000000" w:themeColor="text1"/>
              </w:rPr>
            </w:pPr>
          </w:p>
        </w:tc>
        <w:tc>
          <w:tcPr>
            <w:tcW w:w="10376" w:type="dxa"/>
          </w:tcPr>
          <w:p>
            <w:pPr>
              <w:ind w:firstLine="420" w:firstLineChars="200"/>
              <w:rPr>
                <w:rFonts w:hint="eastAsia"/>
                <w:color w:val="000000" w:themeColor="text1"/>
                <w:lang w:val="en-US" w:eastAsia="zh-CN"/>
              </w:rPr>
            </w:pPr>
            <w:r>
              <w:rPr>
                <w:rFonts w:hint="eastAsia"/>
                <w:color w:val="000000" w:themeColor="text1"/>
                <w:lang w:val="en-US" w:eastAsia="zh-CN"/>
              </w:rPr>
              <w:t>江苏润泰银科技股份有限公司(Jiangsu R.Together.win Technology Inc.),是高新技术企业，集研发&amp;生产汽车、精密机器的密封、减震、装饰产品的专业化工厂。公司的产品含EPDM、TPV等弹性体材料，包括汽车门框条、导槽、天窗密封条、前后密封条、缓冲块、内外切水条等。产品结构包括纯胶型、植绒或涂层型、二至四种胶料复合型、内嵌骨架型、橡塑复合型等，基本覆盖中高档汽车、精密机器饰件技术要求范围。公司严格实施IATF16949、ISO14001、ISO45001体系认证，是通用、大众、东风、本田、丰田等品牌汽车密封系统供应商。</w:t>
            </w:r>
          </w:p>
          <w:p>
            <w:pPr>
              <w:ind w:firstLine="420" w:firstLineChars="200"/>
              <w:rPr>
                <w:rFonts w:hint="eastAsia"/>
                <w:color w:val="000000" w:themeColor="text1"/>
                <w:lang w:val="en-US" w:eastAsia="zh-CN"/>
              </w:rPr>
            </w:pPr>
            <w:r>
              <w:rPr>
                <w:rFonts w:hint="eastAsia"/>
                <w:color w:val="000000" w:themeColor="text1"/>
                <w:lang w:val="en-US" w:eastAsia="zh-CN"/>
              </w:rPr>
              <w:t>公司注册资金2066万元</w:t>
            </w:r>
            <w:r>
              <w:rPr>
                <w:rFonts w:hint="eastAsia"/>
                <w:color w:val="000000" w:themeColor="text1"/>
                <w:szCs w:val="22"/>
                <w:lang w:val="en-US" w:eastAsia="zh-CN"/>
              </w:rPr>
              <w:t>，总资产3415.74万元，</w:t>
            </w:r>
            <w:r>
              <w:rPr>
                <w:rFonts w:hint="eastAsia"/>
                <w:color w:val="000000" w:themeColor="text1"/>
                <w:lang w:val="en-US" w:eastAsia="zh-CN"/>
              </w:rPr>
              <w:t>拥有员工92余名，土地使用面积33989平方米，房屋建筑面积12017.25平方米。</w:t>
            </w:r>
          </w:p>
          <w:p>
            <w:pPr>
              <w:ind w:firstLine="420" w:firstLineChars="200"/>
              <w:rPr>
                <w:rFonts w:hint="eastAsia"/>
                <w:color w:val="000000" w:themeColor="text1"/>
                <w:lang w:val="en-US" w:eastAsia="zh-CN"/>
              </w:rPr>
            </w:pPr>
            <w:r>
              <w:rPr>
                <w:rFonts w:hint="eastAsia"/>
                <w:color w:val="000000" w:themeColor="text1"/>
                <w:lang w:val="en-US" w:eastAsia="zh-CN"/>
              </w:rPr>
              <w:t>营业执照注册地址：泗阳经济开发区桂林路北侧。</w:t>
            </w:r>
          </w:p>
          <w:p>
            <w:pPr>
              <w:ind w:firstLine="420" w:firstLineChars="200"/>
              <w:rPr>
                <w:rFonts w:hint="eastAsia"/>
                <w:color w:val="000000" w:themeColor="text1"/>
                <w:lang w:val="en-US" w:eastAsia="zh-CN"/>
              </w:rPr>
            </w:pPr>
            <w:r>
              <w:rPr>
                <w:rFonts w:hint="eastAsia"/>
                <w:color w:val="000000" w:themeColor="text1"/>
                <w:lang w:val="en-US" w:eastAsia="zh-CN"/>
              </w:rPr>
              <w:t>经营地址：江苏省泗阳经济开发区桂林路北侧，与生产或服务现场一致。</w:t>
            </w:r>
          </w:p>
          <w:p>
            <w:pPr>
              <w:ind w:firstLine="420" w:firstLineChars="200"/>
              <w:rPr>
                <w:rFonts w:hint="eastAsia"/>
                <w:color w:val="000000" w:themeColor="text1"/>
                <w:lang w:val="en-US" w:eastAsia="zh-CN"/>
              </w:rPr>
            </w:pPr>
            <w:r>
              <w:rPr>
                <w:rFonts w:hint="eastAsia"/>
                <w:color w:val="000000" w:themeColor="text1"/>
                <w:lang w:val="en-US" w:eastAsia="zh-CN"/>
              </w:rPr>
              <w:t>能源管理体系覆盖的人数总计 92 人，与认证申请一致（请现场进行核实）。</w:t>
            </w:r>
          </w:p>
        </w:tc>
        <w:tc>
          <w:tcPr>
            <w:tcW w:w="1213"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160" w:type="dxa"/>
          </w:tcPr>
          <w:p>
            <w:pPr>
              <w:rPr>
                <w:rFonts w:hint="eastAsia" w:ascii="宋体" w:hAnsi="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理解组织及其所处的环境</w:t>
            </w:r>
            <w:r>
              <w:rPr>
                <w:rFonts w:hint="eastAsia" w:ascii="宋体" w:hAnsi="宋体" w:cs="Times New Roman"/>
                <w:color w:val="000000" w:themeColor="text1"/>
                <w:sz w:val="21"/>
                <w:szCs w:val="21"/>
                <w:lang w:val="en-US" w:eastAsia="zh-CN"/>
              </w:rPr>
              <w:t>，</w:t>
            </w:r>
          </w:p>
          <w:p>
            <w:pPr>
              <w:rPr>
                <w:rFonts w:hint="default"/>
                <w:color w:val="000000" w:themeColor="text1"/>
                <w:lang w:val="en-US"/>
              </w:rPr>
            </w:pPr>
            <w:r>
              <w:rPr>
                <w:rFonts w:hint="eastAsia" w:ascii="宋体" w:hAnsi="宋体" w:eastAsia="宋体" w:cs="Times New Roman"/>
                <w:color w:val="000000" w:themeColor="text1"/>
                <w:sz w:val="21"/>
                <w:szCs w:val="21"/>
                <w:lang w:val="en-US" w:eastAsia="zh-CN"/>
              </w:rPr>
              <w:t>理解相关方的需求和期望</w:t>
            </w:r>
          </w:p>
        </w:tc>
        <w:tc>
          <w:tcPr>
            <w:tcW w:w="960" w:type="dxa"/>
          </w:tcPr>
          <w:p>
            <w:pPr>
              <w:rPr>
                <w:rFonts w:hint="default"/>
                <w:color w:val="000000" w:themeColor="text1"/>
                <w:lang w:val="en-US"/>
              </w:rPr>
            </w:pPr>
            <w:r>
              <w:rPr>
                <w:rFonts w:hint="eastAsia" w:ascii="宋体" w:hAnsi="宋体" w:cs="Times New Roman"/>
                <w:color w:val="000000" w:themeColor="text1"/>
                <w:sz w:val="21"/>
                <w:szCs w:val="21"/>
                <w:lang w:val="en-US" w:eastAsia="zh-CN"/>
              </w:rPr>
              <w:t>4</w:t>
            </w:r>
            <w:r>
              <w:rPr>
                <w:rFonts w:hint="eastAsia" w:ascii="宋体" w:hAnsi="宋体" w:eastAsia="宋体" w:cs="Times New Roman"/>
                <w:color w:val="000000" w:themeColor="text1"/>
                <w:sz w:val="21"/>
                <w:szCs w:val="21"/>
                <w:lang w:val="en-US" w:eastAsia="zh-CN"/>
              </w:rPr>
              <w:t>.1</w:t>
            </w:r>
            <w:r>
              <w:rPr>
                <w:rFonts w:hint="eastAsia" w:ascii="宋体" w:hAnsi="宋体" w:cs="Times New Roman"/>
                <w:color w:val="000000" w:themeColor="text1"/>
                <w:sz w:val="21"/>
                <w:szCs w:val="21"/>
                <w:lang w:val="en-US" w:eastAsia="zh-CN"/>
              </w:rPr>
              <w:t>/4.2</w:t>
            </w:r>
          </w:p>
        </w:tc>
        <w:tc>
          <w:tcPr>
            <w:tcW w:w="10376" w:type="dxa"/>
          </w:tcPr>
          <w:p>
            <w:pPr>
              <w:ind w:firstLine="420" w:firstLineChars="200"/>
              <w:jc w:val="left"/>
              <w:rPr>
                <w:rFonts w:hint="default"/>
                <w:color w:val="000000" w:themeColor="text1"/>
                <w:lang w:val="en-US" w:eastAsia="zh-CN"/>
              </w:rPr>
            </w:pPr>
            <w:r>
              <w:rPr>
                <w:rFonts w:hint="default"/>
                <w:color w:val="000000" w:themeColor="text1"/>
                <w:lang w:val="en-US" w:eastAsia="zh-CN"/>
              </w:rPr>
              <w:t>公司领导层结合公司的实际情况，充分识别外部、内部环境，以策划公司的能源管理活动，建立管理体系，改进能源绩效，以达到预期的目的。</w:t>
            </w:r>
          </w:p>
          <w:p>
            <w:pPr>
              <w:ind w:firstLine="420" w:firstLineChars="200"/>
              <w:jc w:val="left"/>
              <w:rPr>
                <w:rFonts w:hint="default"/>
                <w:color w:val="000000" w:themeColor="text1"/>
                <w:lang w:val="en-US" w:eastAsia="zh-CN"/>
              </w:rPr>
            </w:pPr>
            <w:r>
              <w:rPr>
                <w:rFonts w:hint="default"/>
                <w:color w:val="000000" w:themeColor="text1"/>
                <w:lang w:val="en-US" w:eastAsia="zh-CN"/>
              </w:rPr>
              <w:t>公司确定《组织环境与相关方要求控制程序》，与其宗旨有关的外部和内部问题，这些问题影响其实现其能源管理预期结果和改进其能源性能的能力。公司领导层在了解和识别内外部因素时，应充分考虑企业活动、产品和服务提供过程中发生相互作用的因素，并基于生命周期的观点实施能源因素的管理。公司领导层应采用适宜的方法，如定期召开经营管理会议，对这些内部和外部因素的中高风险进行监视和评审，确保充分识别、消除，降低或减缓风险，充分利用可能的发展机遇，保证实现企业效益及能源管理体系预期结果。</w:t>
            </w:r>
          </w:p>
          <w:p>
            <w:pPr>
              <w:ind w:firstLine="420" w:firstLineChars="200"/>
              <w:jc w:val="left"/>
              <w:rPr>
                <w:rFonts w:hint="default"/>
                <w:color w:val="000000" w:themeColor="text1"/>
                <w:lang w:val="en-US" w:eastAsia="zh-CN"/>
              </w:rPr>
            </w:pPr>
            <w:r>
              <w:rPr>
                <w:rFonts w:hint="default"/>
                <w:color w:val="000000" w:themeColor="text1"/>
                <w:lang w:val="en-US" w:eastAsia="zh-CN"/>
              </w:rPr>
              <w:t xml:space="preserve">质检部负责定期组织对这些内部和外部因素的相关信息进行监视和评审，以确保其充分和适宜。 </w:t>
            </w:r>
          </w:p>
          <w:p>
            <w:pPr>
              <w:ind w:firstLine="420" w:firstLineChars="200"/>
              <w:jc w:val="left"/>
              <w:rPr>
                <w:rFonts w:hint="eastAsia"/>
                <w:color w:val="000000" w:themeColor="text1"/>
                <w:lang w:val="en-US" w:eastAsia="zh-CN"/>
              </w:rPr>
            </w:pPr>
            <w:r>
              <w:rPr>
                <w:rFonts w:hint="default"/>
                <w:color w:val="000000" w:themeColor="text1"/>
                <w:lang w:val="en-US" w:eastAsia="zh-CN"/>
              </w:rPr>
              <w:t>公司还确定了与能源绩效和能源管理体系有关的相关方，识别相关方的有关需求和期望，制订出双方共赢的发展方案。</w:t>
            </w:r>
            <w:r>
              <w:rPr>
                <w:rFonts w:hint="eastAsia"/>
                <w:color w:val="000000" w:themeColor="text1"/>
                <w:lang w:val="en-US" w:eastAsia="zh-CN"/>
              </w:rPr>
              <w:t>公司的相关方有：识别的能源管理体系相关方为：顾客、供应商、员工、审核方、政府机构等。</w:t>
            </w:r>
          </w:p>
          <w:p>
            <w:pPr>
              <w:ind w:firstLine="420" w:firstLineChars="200"/>
              <w:jc w:val="left"/>
              <w:rPr>
                <w:rFonts w:hint="eastAsia" w:eastAsia="宋体"/>
                <w:color w:val="000000" w:themeColor="text1"/>
                <w:lang w:val="en-US" w:eastAsia="zh-CN"/>
              </w:rPr>
            </w:pPr>
            <w:r>
              <w:rPr>
                <w:rFonts w:hint="eastAsia"/>
                <w:color w:val="000000" w:themeColor="text1"/>
                <w:lang w:val="en-US" w:eastAsia="zh-CN"/>
              </w:rPr>
              <w:t>公司每年都对相关方客及其要求评审一次，发生变化时，采取措施应对</w:t>
            </w:r>
            <w:r>
              <w:rPr>
                <w:rFonts w:hint="eastAsia"/>
                <w:color w:val="000000" w:themeColor="text1"/>
                <w:kern w:val="0"/>
                <w:szCs w:val="21"/>
                <w:lang w:val="en-US" w:eastAsia="zh-CN"/>
              </w:rPr>
              <w:t>等。</w:t>
            </w:r>
          </w:p>
        </w:tc>
        <w:tc>
          <w:tcPr>
            <w:tcW w:w="1213"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tcPr>
          <w:p>
            <w:pPr>
              <w:rPr>
                <w:color w:val="000000" w:themeColor="text1"/>
              </w:rPr>
            </w:pPr>
            <w:r>
              <w:rPr>
                <w:rFonts w:hint="eastAsia" w:ascii="宋体" w:hAnsi="宋体" w:eastAsia="宋体" w:cs="Times New Roman"/>
                <w:color w:val="000000" w:themeColor="text1"/>
                <w:sz w:val="21"/>
                <w:szCs w:val="21"/>
                <w:lang w:val="en-US" w:eastAsia="zh-CN"/>
              </w:rPr>
              <w:t>确定能源管理体系的范围</w:t>
            </w:r>
          </w:p>
        </w:tc>
        <w:tc>
          <w:tcPr>
            <w:tcW w:w="960" w:type="dxa"/>
          </w:tcPr>
          <w:p>
            <w:pPr>
              <w:rPr>
                <w:rFonts w:hint="eastAsia" w:eastAsia="宋体"/>
                <w:color w:val="000000" w:themeColor="text1"/>
                <w:lang w:eastAsia="zh-CN"/>
              </w:rPr>
            </w:pPr>
            <w:r>
              <w:rPr>
                <w:rFonts w:hint="eastAsia" w:ascii="宋体" w:hAnsi="宋体" w:cs="Times New Roman"/>
                <w:color w:val="000000" w:themeColor="text1"/>
                <w:sz w:val="21"/>
                <w:szCs w:val="21"/>
                <w:lang w:val="en-US" w:eastAsia="zh-CN"/>
              </w:rPr>
              <w:t>4</w:t>
            </w:r>
            <w:r>
              <w:rPr>
                <w:rFonts w:hint="eastAsia" w:ascii="宋体" w:hAnsi="宋体" w:eastAsia="宋体" w:cs="Times New Roman"/>
                <w:color w:val="000000" w:themeColor="text1"/>
                <w:sz w:val="21"/>
                <w:szCs w:val="21"/>
              </w:rPr>
              <w:t>.</w:t>
            </w:r>
            <w:r>
              <w:rPr>
                <w:rFonts w:hint="eastAsia" w:ascii="宋体" w:hAnsi="宋体" w:cs="Times New Roman"/>
                <w:color w:val="000000" w:themeColor="text1"/>
                <w:sz w:val="21"/>
                <w:szCs w:val="21"/>
                <w:lang w:val="en-US" w:eastAsia="zh-CN"/>
              </w:rPr>
              <w:t>3</w:t>
            </w:r>
          </w:p>
        </w:tc>
        <w:tc>
          <w:tcPr>
            <w:tcW w:w="10376" w:type="dxa"/>
          </w:tcPr>
          <w:p>
            <w:pPr>
              <w:ind w:firstLine="420" w:firstLineChars="200"/>
              <w:rPr>
                <w:rFonts w:hint="eastAsia"/>
                <w:color w:val="000000" w:themeColor="text1"/>
                <w:lang w:val="en-US" w:eastAsia="zh-CN"/>
              </w:rPr>
            </w:pPr>
            <w:r>
              <w:rPr>
                <w:rFonts w:hint="eastAsia"/>
                <w:color w:val="000000" w:themeColor="text1"/>
                <w:lang w:val="en-US" w:eastAsia="zh-CN"/>
              </w:rPr>
              <w:t>公司能源管理体系的边界和范围：</w:t>
            </w:r>
          </w:p>
          <w:p>
            <w:pPr>
              <w:ind w:firstLine="420" w:firstLineChars="200"/>
              <w:rPr>
                <w:rFonts w:hint="eastAsia"/>
                <w:color w:val="000000" w:themeColor="text1"/>
                <w:lang w:val="en-US" w:eastAsia="zh-CN"/>
              </w:rPr>
            </w:pPr>
            <w:r>
              <w:rPr>
                <w:rFonts w:hint="eastAsia"/>
                <w:color w:val="000000" w:themeColor="text1"/>
                <w:lang w:val="en-US" w:eastAsia="zh-CN"/>
              </w:rPr>
              <w:t>江苏润泰银科技股份有限公司的汽车配件（橡胶、塑料）密封条制造的能源管理所涉及的相关能源管理活动。</w:t>
            </w:r>
          </w:p>
          <w:p>
            <w:pPr>
              <w:ind w:firstLine="420" w:firstLineChars="200"/>
              <w:rPr>
                <w:rFonts w:hint="default" w:eastAsia="宋体"/>
                <w:color w:val="000000" w:themeColor="text1"/>
                <w:lang w:val="en-US" w:eastAsia="zh-CN"/>
              </w:rPr>
            </w:pPr>
            <w:r>
              <w:rPr>
                <w:rFonts w:hint="eastAsia"/>
                <w:color w:val="000000" w:themeColor="text1"/>
                <w:lang w:val="en-US" w:eastAsia="zh-CN"/>
              </w:rPr>
              <w:t>核算边界：位于江苏省泗阳经济开发区桂林路北侧的江苏润泰银科技股份有限公司的汽车配件（橡胶、塑料）密封条制造的能源管理所涉及的相关能源管理活动，该活动涵盖了能源购入、转换、输送、使用所涉及的生产系统、辅助生产系统和附属生产系统活动全过程。</w:t>
            </w:r>
          </w:p>
        </w:tc>
        <w:tc>
          <w:tcPr>
            <w:tcW w:w="1213"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能源管理体系的建立与策划</w:t>
            </w:r>
          </w:p>
        </w:tc>
        <w:tc>
          <w:tcPr>
            <w:tcW w:w="960" w:type="dxa"/>
          </w:tcPr>
          <w:p>
            <w:pPr>
              <w:rPr>
                <w:rFonts w:hint="default"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4.4</w:t>
            </w:r>
          </w:p>
        </w:tc>
        <w:tc>
          <w:tcPr>
            <w:tcW w:w="10376" w:type="dxa"/>
          </w:tcPr>
          <w:p>
            <w:pPr>
              <w:ind w:firstLine="400" w:firstLineChars="200"/>
              <w:rPr>
                <w:rFonts w:hint="eastAsia"/>
                <w:color w:val="000000" w:themeColor="text1"/>
                <w:sz w:val="20"/>
                <w:lang w:val="en-US" w:eastAsia="zh-CN"/>
              </w:rPr>
            </w:pPr>
            <w:r>
              <w:rPr>
                <w:rFonts w:hint="eastAsia"/>
                <w:color w:val="000000" w:themeColor="text1"/>
                <w:sz w:val="20"/>
                <w:lang w:val="en-US" w:eastAsia="zh-CN"/>
              </w:rPr>
              <w:t>公司总经理</w:t>
            </w:r>
            <w:r>
              <w:rPr>
                <w:rFonts w:hint="eastAsia"/>
                <w:b/>
                <w:bCs/>
                <w:color w:val="000000" w:themeColor="text1"/>
                <w:sz w:val="20"/>
                <w:lang w:val="en-US" w:eastAsia="zh-CN"/>
              </w:rPr>
              <w:t>杨从兵</w:t>
            </w:r>
            <w:r>
              <w:rPr>
                <w:rFonts w:hint="eastAsia"/>
                <w:color w:val="000000" w:themeColor="text1"/>
                <w:sz w:val="20"/>
                <w:lang w:val="en-US" w:eastAsia="zh-CN"/>
              </w:rPr>
              <w:t>重视节能降耗工作，任命副总经理</w:t>
            </w:r>
            <w:r>
              <w:rPr>
                <w:rFonts w:hint="eastAsia"/>
                <w:b/>
                <w:bCs/>
                <w:color w:val="000000" w:themeColor="text1"/>
                <w:sz w:val="20"/>
                <w:lang w:val="en-US" w:eastAsia="zh-CN"/>
              </w:rPr>
              <w:t>许慧宇</w:t>
            </w:r>
            <w:r>
              <w:rPr>
                <w:rFonts w:hint="eastAsia"/>
                <w:color w:val="000000" w:themeColor="text1"/>
                <w:sz w:val="20"/>
                <w:lang w:val="en-US" w:eastAsia="zh-CN"/>
              </w:rPr>
              <w:t>为能源体系管理者代表，具体负责能源管理工作。为了系统高效地开展节约能源工作，使公司原有的节能管理更加系统化、规范化、标准化，公司根据GB/T 23331-2020 idt ISO 50001:2018标准及国家相关法律法规，充分结合本公司能源管理的实际情况，建立能源管理体系，并编写“能源管理手册”及相应的能源控制文件，通过全面系统的策划、实施、检查和改进，对能源管理的全过程进行系统的科学监控，有效控制能源消耗并最终实现提高能源利用效率、降低能源消耗的目的。能源管理体系自2021年4月10日正式实施运行以来，至今已取得较好的能源绩效 。</w:t>
            </w:r>
          </w:p>
        </w:tc>
        <w:tc>
          <w:tcPr>
            <w:tcW w:w="1213"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21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领导作用和承诺</w:t>
            </w:r>
          </w:p>
        </w:tc>
        <w:tc>
          <w:tcPr>
            <w:tcW w:w="960" w:type="dxa"/>
          </w:tcPr>
          <w:p>
            <w:pPr>
              <w:rPr>
                <w:rFonts w:hint="eastAsia" w:ascii="宋体" w:hAnsi="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 xml:space="preserve">5.1 </w:t>
            </w:r>
          </w:p>
        </w:tc>
        <w:tc>
          <w:tcPr>
            <w:tcW w:w="10376" w:type="dxa"/>
          </w:tcPr>
          <w:p>
            <w:pPr>
              <w:ind w:firstLine="400" w:firstLineChars="200"/>
              <w:rPr>
                <w:rFonts w:hint="eastAsia"/>
                <w:color w:val="000000" w:themeColor="text1"/>
                <w:sz w:val="20"/>
                <w:lang w:val="en-US" w:eastAsia="zh-CN"/>
              </w:rPr>
            </w:pPr>
            <w:r>
              <w:rPr>
                <w:rFonts w:hint="eastAsia"/>
                <w:color w:val="000000" w:themeColor="text1"/>
                <w:sz w:val="20"/>
                <w:lang w:val="en-US" w:eastAsia="zh-CN"/>
              </w:rPr>
              <w:t>公司总经理（最高管理者）在《能源管理手册》中承诺支持能源管理体系，并持续改进能源管理体系的有效性，通过贯彻落实国家及政府各项能源法规和政策、组建能源管理团队、建立能源方针、目标和能源指标、确保提供能源管理体系所需的资源、确保能源管理措施计划得以批准和实施、促进能源绩效和能源管理体系的持续改进、指导并支持员工为能源管理体系的有效性和能源绩效改进做出贡献等活动得以落实，均符合标准的要求。</w:t>
            </w:r>
          </w:p>
        </w:tc>
        <w:tc>
          <w:tcPr>
            <w:tcW w:w="1213"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2160" w:type="dxa"/>
          </w:tcPr>
          <w:p>
            <w:pPr>
              <w:rPr>
                <w:rFonts w:hint="default"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能源方针</w:t>
            </w:r>
            <w:r>
              <w:rPr>
                <w:rFonts w:hint="eastAsia" w:ascii="宋体" w:hAnsi="宋体" w:cs="Times New Roman"/>
                <w:color w:val="000000" w:themeColor="text1"/>
                <w:sz w:val="21"/>
                <w:szCs w:val="21"/>
                <w:lang w:val="en-US" w:eastAsia="zh-CN"/>
              </w:rPr>
              <w:t>、目标指标</w:t>
            </w:r>
          </w:p>
        </w:tc>
        <w:tc>
          <w:tcPr>
            <w:tcW w:w="9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5.2</w:t>
            </w:r>
            <w:r>
              <w:rPr>
                <w:rFonts w:hint="eastAsia" w:ascii="宋体" w:hAnsi="宋体" w:cs="Times New Roman"/>
                <w:color w:val="000000" w:themeColor="text1"/>
                <w:sz w:val="21"/>
                <w:szCs w:val="21"/>
                <w:lang w:val="en-US" w:eastAsia="zh-CN"/>
              </w:rPr>
              <w:t>/6.2</w:t>
            </w:r>
            <w:r>
              <w:rPr>
                <w:rFonts w:hint="eastAsia" w:ascii="宋体" w:hAnsi="宋体" w:eastAsia="宋体" w:cs="Times New Roman"/>
                <w:color w:val="000000" w:themeColor="text1"/>
                <w:sz w:val="21"/>
                <w:szCs w:val="21"/>
                <w:lang w:val="en-US" w:eastAsia="zh-CN"/>
              </w:rPr>
              <w:t xml:space="preserve"> </w:t>
            </w:r>
          </w:p>
        </w:tc>
        <w:tc>
          <w:tcPr>
            <w:tcW w:w="10376" w:type="dxa"/>
          </w:tcPr>
          <w:p>
            <w:pPr>
              <w:ind w:firstLine="420" w:firstLineChars="200"/>
              <w:rPr>
                <w:rFonts w:hint="eastAsia"/>
                <w:color w:val="000000" w:themeColor="text1"/>
                <w:lang w:val="en-US" w:eastAsia="zh-CN"/>
              </w:rPr>
            </w:pPr>
            <w:r>
              <w:rPr>
                <w:rFonts w:hint="eastAsia"/>
                <w:color w:val="000000" w:themeColor="text1"/>
                <w:lang w:val="en-US" w:eastAsia="zh-CN"/>
              </w:rPr>
              <w:t xml:space="preserve">公司能源管理方针： </w:t>
            </w:r>
          </w:p>
          <w:p>
            <w:pPr>
              <w:ind w:firstLine="420" w:firstLineChars="200"/>
              <w:rPr>
                <w:rFonts w:hint="eastAsia"/>
                <w:color w:val="000000" w:themeColor="text1"/>
                <w:lang w:val="en-US" w:eastAsia="zh-CN"/>
              </w:rPr>
            </w:pPr>
            <w:r>
              <w:rPr>
                <w:rFonts w:hint="eastAsia"/>
                <w:color w:val="000000" w:themeColor="text1"/>
                <w:lang w:val="en-US" w:eastAsia="zh-CN"/>
              </w:rPr>
              <w:t>遵守法规  清洁生产  创新改造  提高能效</w:t>
            </w:r>
          </w:p>
          <w:p>
            <w:pPr>
              <w:ind w:firstLine="420" w:firstLineChars="200"/>
              <w:rPr>
                <w:rFonts w:hint="eastAsia"/>
                <w:color w:val="000000" w:themeColor="text1"/>
                <w:lang w:val="en-US" w:eastAsia="zh-CN"/>
              </w:rPr>
            </w:pPr>
            <w:r>
              <w:rPr>
                <w:rFonts w:hint="eastAsia"/>
                <w:color w:val="000000" w:themeColor="text1"/>
                <w:lang w:val="en-US" w:eastAsia="zh-CN"/>
              </w:rPr>
              <w:t xml:space="preserve"> 内涵：</w:t>
            </w:r>
          </w:p>
          <w:p>
            <w:pPr>
              <w:ind w:firstLine="420" w:firstLineChars="200"/>
              <w:rPr>
                <w:rFonts w:hint="eastAsia"/>
                <w:color w:val="000000" w:themeColor="text1"/>
                <w:lang w:val="en-US" w:eastAsia="zh-CN"/>
              </w:rPr>
            </w:pPr>
            <w:r>
              <w:rPr>
                <w:rFonts w:hint="eastAsia"/>
                <w:color w:val="000000" w:themeColor="text1"/>
                <w:lang w:val="en-US" w:eastAsia="zh-CN"/>
              </w:rPr>
              <w:t>一、遵守能源方面的法律、法规及其他要求，积极推行清洁生产，从源头削减能源用量，促进循环经济发展。</w:t>
            </w:r>
          </w:p>
          <w:p>
            <w:pPr>
              <w:ind w:firstLine="420" w:firstLineChars="200"/>
              <w:rPr>
                <w:rFonts w:hint="eastAsia"/>
                <w:color w:val="000000" w:themeColor="text1"/>
                <w:lang w:val="en-US" w:eastAsia="zh-CN"/>
              </w:rPr>
            </w:pPr>
            <w:r>
              <w:rPr>
                <w:rFonts w:hint="eastAsia"/>
                <w:color w:val="000000" w:themeColor="text1"/>
                <w:lang w:val="en-US" w:eastAsia="zh-CN"/>
              </w:rPr>
              <w:t>二、采用节能新技术、新工艺，不断创新改造，持续改进能源绩效，以降低能源消耗，提高能源利用效率。</w:t>
            </w:r>
          </w:p>
          <w:p>
            <w:pPr>
              <w:ind w:firstLine="420" w:firstLineChars="200"/>
              <w:rPr>
                <w:rFonts w:hint="eastAsia"/>
                <w:color w:val="000000" w:themeColor="text1"/>
                <w:lang w:val="en-US" w:eastAsia="zh-CN"/>
              </w:rPr>
            </w:pPr>
            <w:r>
              <w:rPr>
                <w:rFonts w:hint="eastAsia"/>
                <w:color w:val="000000" w:themeColor="text1"/>
                <w:lang w:val="en-US" w:eastAsia="zh-CN"/>
              </w:rPr>
              <w:t>三、合理用能，建立并持续改进能源管理体系，坚持以人为本，履行社会责任，实现可持续发展。</w:t>
            </w:r>
          </w:p>
          <w:p>
            <w:pPr>
              <w:ind w:firstLine="420" w:firstLineChars="200"/>
              <w:rPr>
                <w:rFonts w:hint="eastAsia"/>
                <w:color w:val="000000" w:themeColor="text1"/>
                <w:lang w:val="en-US" w:eastAsia="zh-CN"/>
              </w:rPr>
            </w:pPr>
            <w:r>
              <w:rPr>
                <w:rFonts w:hint="eastAsia"/>
                <w:color w:val="000000" w:themeColor="text1"/>
                <w:lang w:val="en-US" w:eastAsia="zh-CN"/>
              </w:rPr>
              <w:t>四、支持高效产品和服务的采购，支持积极改进能源绩效的设计。</w:t>
            </w:r>
          </w:p>
          <w:p>
            <w:pPr>
              <w:ind w:firstLine="420" w:firstLineChars="200"/>
              <w:rPr>
                <w:rFonts w:hint="eastAsia"/>
                <w:color w:val="000000" w:themeColor="text1"/>
                <w:lang w:val="en-US" w:eastAsia="zh-CN"/>
              </w:rPr>
            </w:pPr>
            <w:r>
              <w:rPr>
                <w:rFonts w:hint="eastAsia"/>
                <w:color w:val="000000" w:themeColor="text1"/>
                <w:lang w:val="en-US" w:eastAsia="zh-CN"/>
              </w:rPr>
              <w:t>五、为积极制定能源目标、指标提供方向和框架。。</w:t>
            </w:r>
          </w:p>
          <w:p>
            <w:pPr>
              <w:ind w:firstLine="420" w:firstLineChars="200"/>
              <w:rPr>
                <w:rFonts w:hint="eastAsia"/>
                <w:color w:val="000000" w:themeColor="text1"/>
                <w:lang w:val="en-US" w:eastAsia="zh-CN"/>
              </w:rPr>
            </w:pPr>
            <w:r>
              <w:rPr>
                <w:rFonts w:hint="eastAsia"/>
                <w:color w:val="000000" w:themeColor="text1"/>
                <w:lang w:val="en-US" w:eastAsia="zh-CN"/>
              </w:rPr>
              <w:t>能源方针内容基本符合标准要求和企业实际。能源方针由总经理批准发布，以书面、电子媒介、宣传栏等方式，便于员工、顾客及其他相关方所获取，并且予以评审。</w:t>
            </w:r>
          </w:p>
          <w:p>
            <w:pPr>
              <w:ind w:firstLine="400" w:firstLineChars="200"/>
              <w:rPr>
                <w:rFonts w:hint="eastAsia"/>
                <w:color w:val="000000" w:themeColor="text1"/>
                <w:sz w:val="20"/>
                <w:szCs w:val="22"/>
                <w:lang w:val="en-US" w:eastAsia="zh-CN"/>
              </w:rPr>
            </w:pPr>
            <w:r>
              <w:rPr>
                <w:rFonts w:hint="eastAsia"/>
                <w:color w:val="000000" w:themeColor="text1"/>
                <w:sz w:val="20"/>
                <w:szCs w:val="22"/>
                <w:lang w:val="en-US" w:eastAsia="zh-CN"/>
              </w:rPr>
              <w:t>公司级能源目标指标：</w:t>
            </w:r>
          </w:p>
          <w:p>
            <w:pPr>
              <w:ind w:firstLine="400" w:firstLineChars="200"/>
              <w:rPr>
                <w:rFonts w:hint="eastAsia"/>
                <w:color w:val="000000" w:themeColor="text1"/>
                <w:sz w:val="20"/>
                <w:szCs w:val="22"/>
                <w:lang w:val="en-US" w:eastAsia="zh-CN"/>
              </w:rPr>
            </w:pPr>
            <w:r>
              <w:rPr>
                <w:rFonts w:hint="eastAsia"/>
                <w:color w:val="000000" w:themeColor="text1"/>
                <w:sz w:val="20"/>
                <w:szCs w:val="22"/>
                <w:lang w:val="en-US" w:eastAsia="zh-CN"/>
              </w:rPr>
              <w:t>2020年目标：橡胶件单位产品能耗≦1.76kgce/kg；TPV件单位产品能耗≦1.72kgce/kg。</w:t>
            </w:r>
          </w:p>
          <w:p>
            <w:pPr>
              <w:ind w:firstLine="400" w:firstLineChars="200"/>
              <w:rPr>
                <w:rFonts w:hint="eastAsia"/>
                <w:color w:val="000000" w:themeColor="text1"/>
                <w:sz w:val="20"/>
                <w:szCs w:val="22"/>
                <w:lang w:val="en-US" w:eastAsia="zh-CN"/>
              </w:rPr>
            </w:pPr>
            <w:r>
              <w:rPr>
                <w:rFonts w:hint="eastAsia"/>
                <w:color w:val="000000" w:themeColor="text1"/>
                <w:sz w:val="20"/>
                <w:szCs w:val="22"/>
                <w:lang w:val="en-US" w:eastAsia="zh-CN"/>
              </w:rPr>
              <w:t>2020年实际完成情况：橡胶件单位产品能耗1.60kgce/kg；TPV件单位产品能耗1.61kgce/kg。</w:t>
            </w:r>
          </w:p>
          <w:p>
            <w:pPr>
              <w:ind w:firstLine="400" w:firstLineChars="200"/>
              <w:rPr>
                <w:rFonts w:hint="eastAsia"/>
                <w:color w:val="000000" w:themeColor="text1"/>
                <w:sz w:val="20"/>
                <w:szCs w:val="22"/>
                <w:lang w:val="en-US" w:eastAsia="zh-CN"/>
              </w:rPr>
            </w:pPr>
            <w:r>
              <w:rPr>
                <w:rFonts w:hint="eastAsia"/>
                <w:color w:val="000000" w:themeColor="text1"/>
                <w:sz w:val="20"/>
                <w:szCs w:val="22"/>
                <w:lang w:val="en-US" w:eastAsia="zh-CN"/>
              </w:rPr>
              <w:t>2021年目标：橡胶件单位产品能耗≦1.60kgce/kg；TPV件单位产品能耗≦1.61kgce/kg。</w:t>
            </w:r>
          </w:p>
          <w:p>
            <w:pPr>
              <w:ind w:firstLine="400" w:firstLineChars="200"/>
              <w:rPr>
                <w:rFonts w:hint="eastAsia"/>
                <w:color w:val="000000" w:themeColor="text1"/>
                <w:sz w:val="20"/>
                <w:szCs w:val="22"/>
                <w:lang w:val="en-US" w:eastAsia="zh-CN"/>
              </w:rPr>
            </w:pPr>
            <w:r>
              <w:rPr>
                <w:rFonts w:hint="eastAsia"/>
                <w:color w:val="000000" w:themeColor="text1"/>
                <w:sz w:val="20"/>
                <w:szCs w:val="22"/>
                <w:lang w:val="en-US" w:eastAsia="zh-CN"/>
              </w:rPr>
              <w:t>2021年1-10月实际完成情况：橡胶件单位产品能耗1.70kgce/kg；TPV件单位产品能耗1.69kgce/kg。</w:t>
            </w:r>
          </w:p>
          <w:p>
            <w:pPr>
              <w:pStyle w:val="2"/>
              <w:ind w:firstLine="400"/>
              <w:rPr>
                <w:rFonts w:hint="default" w:ascii="Times New Roman" w:hAnsi="Times New Roman" w:eastAsia="宋体" w:cs="Times New Roman"/>
                <w:color w:val="000000" w:themeColor="text1"/>
                <w:kern w:val="2"/>
                <w:sz w:val="21"/>
                <w:szCs w:val="22"/>
                <w:lang w:val="en-US" w:eastAsia="zh-CN" w:bidi="ar-SA"/>
              </w:rPr>
            </w:pPr>
          </w:p>
        </w:tc>
        <w:tc>
          <w:tcPr>
            <w:tcW w:w="1213"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1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组织的岗位、职责和权限</w:t>
            </w:r>
          </w:p>
        </w:tc>
        <w:tc>
          <w:tcPr>
            <w:tcW w:w="9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 xml:space="preserve">5.3 </w:t>
            </w:r>
          </w:p>
        </w:tc>
        <w:tc>
          <w:tcPr>
            <w:tcW w:w="10376" w:type="dxa"/>
          </w:tcPr>
          <w:p>
            <w:pPr>
              <w:ind w:firstLine="400" w:firstLineChars="200"/>
              <w:rPr>
                <w:rFonts w:hint="eastAsia" w:eastAsia="宋体"/>
                <w:color w:val="000000" w:themeColor="text1"/>
                <w:sz w:val="20"/>
                <w:lang w:val="en-US" w:eastAsia="zh-CN"/>
              </w:rPr>
            </w:pPr>
            <w:r>
              <w:rPr>
                <w:rFonts w:hint="eastAsia"/>
                <w:color w:val="000000" w:themeColor="text1"/>
                <w:sz w:val="20"/>
                <w:lang w:val="en-US" w:eastAsia="zh-CN"/>
              </w:rPr>
              <w:t>公司成立能源管理工作小组，</w:t>
            </w:r>
            <w:r>
              <w:rPr>
                <w:rFonts w:hint="eastAsia" w:ascii="宋体" w:hAnsi="宋体" w:cs="宋体"/>
                <w:color w:val="000000" w:themeColor="text1"/>
                <w:szCs w:val="21"/>
              </w:rPr>
              <w:t>组  长：</w:t>
            </w:r>
            <w:r>
              <w:rPr>
                <w:rFonts w:hint="eastAsia" w:ascii="宋体" w:hAnsi="宋体" w:cs="宋体"/>
                <w:color w:val="000000" w:themeColor="text1"/>
                <w:szCs w:val="21"/>
                <w:lang w:eastAsia="zh-CN"/>
              </w:rPr>
              <w:t>杨从兵</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副组长：</w:t>
            </w:r>
            <w:r>
              <w:rPr>
                <w:rFonts w:hint="eastAsia" w:ascii="宋体" w:hAnsi="宋体" w:cs="宋体"/>
                <w:color w:val="000000" w:themeColor="text1"/>
                <w:szCs w:val="21"/>
                <w:lang w:eastAsia="zh-CN"/>
              </w:rPr>
              <w:t>许慧宇</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成  员：</w:t>
            </w:r>
            <w:r>
              <w:rPr>
                <w:rFonts w:hint="eastAsia" w:ascii="宋体" w:hAnsi="宋体" w:cs="宋体"/>
                <w:color w:val="000000" w:themeColor="text1"/>
                <w:szCs w:val="21"/>
                <w:lang w:eastAsia="zh-CN"/>
              </w:rPr>
              <w:t>何涛涛、张军、张建军、包苏明。</w:t>
            </w:r>
          </w:p>
          <w:p>
            <w:pPr>
              <w:ind w:firstLine="400" w:firstLineChars="200"/>
              <w:rPr>
                <w:rFonts w:hint="eastAsia"/>
                <w:color w:val="000000" w:themeColor="text1"/>
                <w:sz w:val="20"/>
                <w:lang w:val="en-US" w:eastAsia="zh-CN"/>
              </w:rPr>
            </w:pPr>
            <w:r>
              <w:rPr>
                <w:rFonts w:hint="eastAsia"/>
                <w:color w:val="000000" w:themeColor="text1"/>
                <w:sz w:val="20"/>
                <w:lang w:val="en-US" w:eastAsia="zh-CN"/>
              </w:rPr>
              <w:t>最高管理者应将以下职责和权力分配给能源管理团队；</w:t>
            </w:r>
          </w:p>
          <w:p>
            <w:pPr>
              <w:ind w:firstLine="400" w:firstLineChars="200"/>
              <w:rPr>
                <w:rFonts w:hint="eastAsia"/>
                <w:color w:val="000000" w:themeColor="text1"/>
                <w:sz w:val="20"/>
                <w:lang w:val="en-US" w:eastAsia="zh-CN"/>
              </w:rPr>
            </w:pPr>
            <w:r>
              <w:rPr>
                <w:rFonts w:hint="eastAsia"/>
                <w:color w:val="000000" w:themeColor="text1"/>
                <w:sz w:val="20"/>
                <w:lang w:val="en-US" w:eastAsia="zh-CN"/>
              </w:rPr>
              <w:t>a)确保能源管理体系的建立、实施、维护和持续改进；</w:t>
            </w:r>
          </w:p>
          <w:p>
            <w:pPr>
              <w:ind w:firstLine="400" w:firstLineChars="200"/>
              <w:rPr>
                <w:rFonts w:hint="eastAsia"/>
                <w:color w:val="000000" w:themeColor="text1"/>
                <w:sz w:val="20"/>
                <w:lang w:val="en-US" w:eastAsia="zh-CN"/>
              </w:rPr>
            </w:pPr>
            <w:r>
              <w:rPr>
                <w:rFonts w:hint="eastAsia"/>
                <w:color w:val="000000" w:themeColor="text1"/>
                <w:sz w:val="20"/>
                <w:lang w:val="en-US" w:eastAsia="zh-CN"/>
              </w:rPr>
              <w:t>b)确保EnMS符合本文件的要求；</w:t>
            </w:r>
          </w:p>
          <w:p>
            <w:pPr>
              <w:ind w:firstLine="400" w:firstLineChars="200"/>
              <w:rPr>
                <w:rFonts w:hint="eastAsia"/>
                <w:color w:val="000000" w:themeColor="text1"/>
                <w:sz w:val="20"/>
                <w:lang w:val="en-US" w:eastAsia="zh-CN"/>
              </w:rPr>
            </w:pPr>
            <w:r>
              <w:rPr>
                <w:rFonts w:hint="eastAsia"/>
                <w:color w:val="000000" w:themeColor="text1"/>
                <w:sz w:val="20"/>
                <w:lang w:val="en-US" w:eastAsia="zh-CN"/>
              </w:rPr>
              <w:t>c)执行行动计划(见6.2)，持续改善能源性能；</w:t>
            </w:r>
          </w:p>
          <w:p>
            <w:pPr>
              <w:ind w:firstLine="400" w:firstLineChars="200"/>
              <w:rPr>
                <w:rFonts w:hint="eastAsia"/>
                <w:color w:val="000000" w:themeColor="text1"/>
                <w:sz w:val="20"/>
                <w:lang w:val="en-US" w:eastAsia="zh-CN"/>
              </w:rPr>
            </w:pPr>
            <w:r>
              <w:rPr>
                <w:rFonts w:hint="eastAsia"/>
                <w:color w:val="000000" w:themeColor="text1"/>
                <w:sz w:val="20"/>
                <w:lang w:val="en-US" w:eastAsia="zh-CN"/>
              </w:rPr>
              <w:t>d)定期向最高管理层汇报EnMS的绩效和能源绩效的改善情况；</w:t>
            </w:r>
          </w:p>
          <w:p>
            <w:pPr>
              <w:ind w:firstLine="400" w:firstLineChars="200"/>
              <w:rPr>
                <w:rFonts w:hint="eastAsia"/>
                <w:color w:val="000000" w:themeColor="text1"/>
                <w:sz w:val="20"/>
                <w:lang w:val="en-US" w:eastAsia="zh-CN"/>
              </w:rPr>
            </w:pPr>
            <w:r>
              <w:rPr>
                <w:rFonts w:hint="eastAsia"/>
                <w:color w:val="000000" w:themeColor="text1"/>
                <w:sz w:val="20"/>
                <w:lang w:val="en-US" w:eastAsia="zh-CN"/>
              </w:rPr>
              <w:t>e)建立标准和方法，以确保EnMS的操作和控制是有效的。</w:t>
            </w:r>
          </w:p>
          <w:p>
            <w:pPr>
              <w:ind w:firstLine="400" w:firstLineChars="200"/>
              <w:rPr>
                <w:rFonts w:hint="eastAsia"/>
                <w:color w:val="000000" w:themeColor="text1"/>
                <w:sz w:val="20"/>
                <w:lang w:val="en-US" w:eastAsia="zh-CN"/>
              </w:rPr>
            </w:pPr>
            <w:r>
              <w:rPr>
                <w:rFonts w:hint="eastAsia"/>
                <w:color w:val="000000" w:themeColor="text1"/>
                <w:sz w:val="20"/>
                <w:lang w:val="en-US" w:eastAsia="zh-CN"/>
              </w:rPr>
              <w:t>公司设有管理部、技术开发部、生产部 、采购部、财务部等，从管理层到各部门、各岗位能源职责权限均以文件化予以规定（在《能源管理手册》5.3条款中予以规定），编审批齐全。</w:t>
            </w:r>
          </w:p>
        </w:tc>
        <w:tc>
          <w:tcPr>
            <w:tcW w:w="1213"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应对风险和机遇的措施</w:t>
            </w:r>
          </w:p>
        </w:tc>
        <w:tc>
          <w:tcPr>
            <w:tcW w:w="9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6.1</w:t>
            </w:r>
          </w:p>
        </w:tc>
        <w:tc>
          <w:tcPr>
            <w:tcW w:w="10376" w:type="dxa"/>
          </w:tcPr>
          <w:p>
            <w:pPr>
              <w:ind w:firstLine="400" w:firstLineChars="200"/>
              <w:rPr>
                <w:rFonts w:hint="default"/>
                <w:color w:val="000000" w:themeColor="text1"/>
                <w:sz w:val="20"/>
                <w:lang w:val="en-US" w:eastAsia="zh-CN"/>
              </w:rPr>
            </w:pPr>
            <w:r>
              <w:rPr>
                <w:rFonts w:hint="eastAsia"/>
                <w:color w:val="000000" w:themeColor="text1"/>
                <w:sz w:val="20"/>
                <w:lang w:val="en-US" w:eastAsia="zh-CN"/>
              </w:rPr>
              <w:t>提供有《RTY/NY RTY-02-2021风险和机遇控制程序》，有编审批，符合标准要求。</w:t>
            </w:r>
          </w:p>
          <w:p>
            <w:pPr>
              <w:ind w:firstLine="400" w:firstLineChars="200"/>
              <w:rPr>
                <w:rFonts w:hint="eastAsia"/>
                <w:color w:val="000000" w:themeColor="text1"/>
                <w:sz w:val="20"/>
                <w:lang w:val="en-US" w:eastAsia="zh-CN"/>
              </w:rPr>
            </w:pPr>
            <w:r>
              <w:rPr>
                <w:rFonts w:hint="eastAsia"/>
                <w:color w:val="000000" w:themeColor="text1"/>
                <w:sz w:val="20"/>
                <w:lang w:val="en-US" w:eastAsia="zh-CN"/>
              </w:rPr>
              <w:t>公司管理层有一定的风险意识，将风险和机遇作为高层战略决策的重要内容，特别在涉及公司发展和新材料、新技术引用以及节能技术改造投资上能够充分识别风险和机遇，预测潜在的问题及其后果，以便在发生不利影响之前采取预防措施。同样，可识别和追踪可能提供潜在优势或有益结果的有利考量或环境。</w:t>
            </w:r>
          </w:p>
          <w:p>
            <w:pPr>
              <w:ind w:firstLine="400" w:firstLineChars="200"/>
              <w:rPr>
                <w:rFonts w:hint="eastAsia"/>
                <w:color w:val="000000" w:themeColor="text1"/>
                <w:sz w:val="20"/>
                <w:lang w:val="en-US" w:eastAsia="zh-CN"/>
              </w:rPr>
            </w:pPr>
            <w:r>
              <w:rPr>
                <w:rFonts w:hint="eastAsia"/>
                <w:color w:val="000000" w:themeColor="text1"/>
                <w:sz w:val="20"/>
                <w:lang w:val="en-US" w:eastAsia="zh-CN"/>
              </w:rPr>
              <w:t>策划能源管理体系时，应考虑应对风险和机遇，并对影响能源绩效的组织活动和过程进行评审。策划应与能源方针保持一致，并应形成持续改进能源绩效的措施。应确定需要应对的风险和机遇，组织已策划了《风险和机遇控制程序》。</w:t>
            </w:r>
          </w:p>
        </w:tc>
        <w:tc>
          <w:tcPr>
            <w:tcW w:w="1213"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资源</w:t>
            </w:r>
          </w:p>
        </w:tc>
        <w:tc>
          <w:tcPr>
            <w:tcW w:w="9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 xml:space="preserve">7.1 </w:t>
            </w:r>
          </w:p>
        </w:tc>
        <w:tc>
          <w:tcPr>
            <w:tcW w:w="10376" w:type="dxa"/>
          </w:tcPr>
          <w:p>
            <w:pPr>
              <w:ind w:firstLine="400" w:firstLineChars="200"/>
              <w:rPr>
                <w:rFonts w:hint="eastAsia"/>
                <w:color w:val="000000" w:themeColor="text1"/>
                <w:sz w:val="20"/>
                <w:lang w:val="en-US" w:eastAsia="zh-CN"/>
              </w:rPr>
            </w:pPr>
            <w:r>
              <w:rPr>
                <w:rFonts w:hint="eastAsia"/>
                <w:color w:val="000000" w:themeColor="text1"/>
                <w:sz w:val="20"/>
                <w:lang w:val="en-US" w:eastAsia="zh-CN"/>
              </w:rPr>
              <w:t>本公司注册资金：2066万元，总资产：3415.74万元；公司配置有大型等机械设备以及检验装备，</w:t>
            </w:r>
            <w:r>
              <w:rPr>
                <w:rFonts w:hint="eastAsia"/>
                <w:color w:val="000000" w:themeColor="text1"/>
                <w:lang w:val="en-US" w:eastAsia="zh-CN"/>
              </w:rPr>
              <w:t>土地使用面积33989平方米，房屋建筑面积12017.25平方米</w:t>
            </w:r>
            <w:r>
              <w:rPr>
                <w:rFonts w:hint="eastAsia"/>
                <w:color w:val="000000" w:themeColor="text1"/>
                <w:sz w:val="20"/>
                <w:lang w:val="en-US" w:eastAsia="zh-CN"/>
              </w:rPr>
              <w:t>。</w:t>
            </w:r>
          </w:p>
          <w:p>
            <w:pPr>
              <w:numPr>
                <w:ilvl w:val="0"/>
                <w:numId w:val="1"/>
              </w:numPr>
              <w:ind w:firstLine="400" w:firstLineChars="200"/>
              <w:rPr>
                <w:rFonts w:hint="default"/>
                <w:color w:val="000000" w:themeColor="text1"/>
                <w:sz w:val="20"/>
                <w:lang w:val="en-US" w:eastAsia="zh-CN"/>
              </w:rPr>
            </w:pPr>
            <w:r>
              <w:rPr>
                <w:rFonts w:hint="eastAsia"/>
                <w:color w:val="000000" w:themeColor="text1"/>
                <w:sz w:val="20"/>
                <w:lang w:val="en-US" w:eastAsia="zh-CN"/>
              </w:rPr>
              <w:t>提供《</w:t>
            </w:r>
            <w:r>
              <w:rPr>
                <w:rFonts w:hint="eastAsia"/>
                <w:color w:val="000000" w:themeColor="text1"/>
                <w:lang w:val="en-US" w:eastAsia="zh-CN"/>
              </w:rPr>
              <w:t>江苏润泰银科技股份有限公司</w:t>
            </w:r>
            <w:r>
              <w:rPr>
                <w:rFonts w:hint="eastAsia"/>
                <w:color w:val="000000" w:themeColor="text1"/>
                <w:sz w:val="20"/>
                <w:lang w:val="en-US" w:eastAsia="zh-CN"/>
              </w:rPr>
              <w:t>主要生产加工设备清单》，共有262台套设备，主要有：机加工设备、公用设施、45°水切、接头机(45°）、接头机（45°）、Q06冲齿、打孔机、PE熔接机、单头注射机、喷砂机、平板硫化机、密度仪、测厚仪、硬度计、硬度计、硫化仪、门尼粘度仪、电子万能实验机、冲片机、单刀油压立式切胶机、捏炼机、吸尘器、捏炼机、吸尘器、提升机、开放式炼胶机、喂料机、主挤出机、水温机(75)、冷却水槽、牵引机、裁断机、投影、打标、钢带（丝）放线器、90米钢丝（钢带）储料架、芯材预热槽、植绒机、电热蒸汽发生器、植绒烘箱、双工位熔接机、单工位熔接机、三维弯曲机、油冷机、双头锯切机、开式可顷压力机、双工位熔接机等。满足实际生产要求。</w:t>
            </w:r>
          </w:p>
          <w:p>
            <w:pPr>
              <w:ind w:firstLine="400" w:firstLineChars="200"/>
              <w:rPr>
                <w:rFonts w:hint="eastAsia"/>
                <w:color w:val="000000" w:themeColor="text1"/>
                <w:sz w:val="20"/>
                <w:lang w:val="en-US" w:eastAsia="zh-CN"/>
              </w:rPr>
            </w:pPr>
            <w:r>
              <w:rPr>
                <w:rFonts w:hint="eastAsia"/>
                <w:color w:val="000000" w:themeColor="text1"/>
                <w:sz w:val="20"/>
                <w:lang w:val="en-US" w:eastAsia="zh-CN"/>
              </w:rPr>
              <w:t>2、配备有计量器具见台账。</w:t>
            </w:r>
          </w:p>
          <w:p>
            <w:pPr>
              <w:ind w:firstLine="400" w:firstLineChars="200"/>
              <w:rPr>
                <w:rFonts w:hint="eastAsia" w:eastAsia="宋体"/>
                <w:color w:val="000000" w:themeColor="text1"/>
                <w:sz w:val="20"/>
                <w:lang w:val="en-US" w:eastAsia="zh-CN"/>
              </w:rPr>
            </w:pPr>
            <w:r>
              <w:rPr>
                <w:rFonts w:hint="eastAsia"/>
                <w:color w:val="000000" w:themeColor="text1"/>
                <w:sz w:val="20"/>
                <w:lang w:val="en-US" w:eastAsia="zh-CN"/>
              </w:rPr>
              <w:t>3、公司有一支经验丰富的专业研发团队，</w:t>
            </w:r>
            <w:r>
              <w:rPr>
                <w:rFonts w:hint="eastAsia"/>
                <w:color w:val="000000" w:themeColor="text1"/>
                <w:szCs w:val="21"/>
              </w:rPr>
              <w:t>总人数</w:t>
            </w:r>
            <w:r>
              <w:rPr>
                <w:rFonts w:hint="eastAsia"/>
                <w:color w:val="000000" w:themeColor="text1"/>
                <w:szCs w:val="21"/>
                <w:lang w:val="en-US" w:eastAsia="zh-CN"/>
              </w:rPr>
              <w:t>92</w:t>
            </w:r>
            <w:r>
              <w:rPr>
                <w:rFonts w:hint="eastAsia"/>
                <w:color w:val="000000" w:themeColor="text1"/>
                <w:szCs w:val="21"/>
              </w:rPr>
              <w:t>人，大专或中专以上学历人数</w:t>
            </w:r>
            <w:r>
              <w:rPr>
                <w:rFonts w:hint="eastAsia"/>
                <w:color w:val="000000" w:themeColor="text1"/>
                <w:szCs w:val="21"/>
                <w:lang w:val="en-US" w:eastAsia="zh-CN"/>
              </w:rPr>
              <w:t>72</w:t>
            </w:r>
            <w:r>
              <w:rPr>
                <w:rFonts w:hint="eastAsia"/>
                <w:color w:val="000000" w:themeColor="text1"/>
                <w:szCs w:val="21"/>
              </w:rPr>
              <w:t>人；劳务派遣人员0 人；临时工0 人；季节工 0 人；经核实涉及能源管理体系覆盖员工</w:t>
            </w:r>
            <w:r>
              <w:rPr>
                <w:rFonts w:hint="eastAsia"/>
                <w:color w:val="000000" w:themeColor="text1"/>
                <w:szCs w:val="21"/>
                <w:lang w:val="en-US" w:eastAsia="zh-CN"/>
              </w:rPr>
              <w:t>92</w:t>
            </w:r>
            <w:r>
              <w:rPr>
                <w:rFonts w:hint="eastAsia"/>
                <w:color w:val="000000" w:themeColor="text1"/>
                <w:szCs w:val="21"/>
              </w:rPr>
              <w:t>人，管理人员</w:t>
            </w:r>
            <w:r>
              <w:rPr>
                <w:rFonts w:hint="eastAsia"/>
                <w:color w:val="000000" w:themeColor="text1"/>
                <w:szCs w:val="21"/>
                <w:lang w:val="en-US" w:eastAsia="zh-CN"/>
              </w:rPr>
              <w:t>56</w:t>
            </w:r>
            <w:r>
              <w:rPr>
                <w:rFonts w:hint="eastAsia"/>
                <w:color w:val="000000" w:themeColor="text1"/>
                <w:szCs w:val="21"/>
              </w:rPr>
              <w:t>人，操作工人</w:t>
            </w:r>
            <w:r>
              <w:rPr>
                <w:rFonts w:hint="eastAsia"/>
                <w:color w:val="000000" w:themeColor="text1"/>
                <w:szCs w:val="21"/>
                <w:lang w:val="en-US" w:eastAsia="zh-CN"/>
              </w:rPr>
              <w:t>36</w:t>
            </w:r>
            <w:r>
              <w:rPr>
                <w:rFonts w:hint="eastAsia"/>
                <w:color w:val="000000" w:themeColor="text1"/>
                <w:szCs w:val="21"/>
              </w:rPr>
              <w:t>人</w:t>
            </w:r>
            <w:r>
              <w:rPr>
                <w:rFonts w:hint="eastAsia"/>
                <w:color w:val="000000" w:themeColor="text1"/>
                <w:szCs w:val="21"/>
                <w:lang w:eastAsia="zh-CN"/>
              </w:rPr>
              <w:t>；</w:t>
            </w:r>
          </w:p>
          <w:p>
            <w:pPr>
              <w:ind w:firstLine="400" w:firstLineChars="200"/>
              <w:rPr>
                <w:rFonts w:hint="eastAsia"/>
                <w:color w:val="000000" w:themeColor="text1"/>
                <w:sz w:val="20"/>
                <w:lang w:val="en-US" w:eastAsia="zh-CN"/>
              </w:rPr>
            </w:pPr>
            <w:r>
              <w:rPr>
                <w:rFonts w:hint="eastAsia"/>
                <w:color w:val="000000" w:themeColor="text1"/>
                <w:sz w:val="20"/>
                <w:lang w:val="en-US" w:eastAsia="zh-CN"/>
              </w:rPr>
              <w:t>资源配置能够满足建立、实施、保持和持续改进能源绩效和能源管理体系的有效运行。</w:t>
            </w:r>
          </w:p>
        </w:tc>
        <w:tc>
          <w:tcPr>
            <w:tcW w:w="1213"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tcPr>
          <w:p>
            <w:pPr>
              <w:rPr>
                <w:rFonts w:hint="default"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适用法律法规识别</w:t>
            </w:r>
            <w:r>
              <w:rPr>
                <w:rFonts w:hint="eastAsia" w:ascii="宋体" w:hAnsi="宋体" w:cs="Times New Roman"/>
                <w:color w:val="000000" w:themeColor="text1"/>
                <w:sz w:val="21"/>
                <w:szCs w:val="21"/>
                <w:lang w:val="en-US" w:eastAsia="zh-CN"/>
              </w:rPr>
              <w:t>与合规性评价</w:t>
            </w:r>
          </w:p>
        </w:tc>
        <w:tc>
          <w:tcPr>
            <w:tcW w:w="960" w:type="dxa"/>
          </w:tcPr>
          <w:p>
            <w:pPr>
              <w:rPr>
                <w:rFonts w:hint="default" w:ascii="宋体" w:hAnsi="宋体" w:eastAsia="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9.1.2</w:t>
            </w:r>
          </w:p>
        </w:tc>
        <w:tc>
          <w:tcPr>
            <w:tcW w:w="10376" w:type="dxa"/>
          </w:tcPr>
          <w:p>
            <w:pPr>
              <w:ind w:firstLine="400" w:firstLineChars="200"/>
              <w:rPr>
                <w:rFonts w:hint="eastAsia"/>
                <w:color w:val="000000" w:themeColor="text1"/>
                <w:sz w:val="20"/>
                <w:szCs w:val="22"/>
                <w:lang w:val="en-US" w:eastAsia="zh-CN"/>
              </w:rPr>
            </w:pPr>
            <w:r>
              <w:rPr>
                <w:rFonts w:hint="eastAsia"/>
                <w:color w:val="000000" w:themeColor="text1"/>
                <w:sz w:val="20"/>
                <w:szCs w:val="22"/>
                <w:lang w:val="en-US" w:eastAsia="zh-CN"/>
              </w:rPr>
              <w:t>提供《RTY/NY RTY-19-2021</w:t>
            </w:r>
            <w:r>
              <w:rPr>
                <w:rFonts w:hint="eastAsia"/>
                <w:color w:val="000000" w:themeColor="text1"/>
                <w:sz w:val="20"/>
                <w:szCs w:val="22"/>
                <w:lang w:val="en-US" w:eastAsia="zh-CN"/>
              </w:rPr>
              <w:tab/>
            </w:r>
            <w:r>
              <w:rPr>
                <w:rFonts w:hint="eastAsia"/>
                <w:color w:val="000000" w:themeColor="text1"/>
                <w:sz w:val="20"/>
                <w:szCs w:val="22"/>
                <w:lang w:val="en-US" w:eastAsia="zh-CN"/>
              </w:rPr>
              <w:t>法律、法规及其它要求的识别控制程序》，有编审批，符合标准要求。</w:t>
            </w:r>
          </w:p>
          <w:p>
            <w:pPr>
              <w:ind w:firstLine="400" w:firstLineChars="200"/>
              <w:rPr>
                <w:rFonts w:hint="default"/>
                <w:color w:val="000000" w:themeColor="text1"/>
                <w:sz w:val="20"/>
                <w:szCs w:val="22"/>
                <w:lang w:val="en-US" w:eastAsia="zh-CN"/>
              </w:rPr>
            </w:pPr>
            <w:r>
              <w:rPr>
                <w:rFonts w:hint="eastAsia"/>
                <w:color w:val="000000" w:themeColor="text1"/>
                <w:sz w:val="20"/>
                <w:szCs w:val="22"/>
                <w:lang w:val="en-US" w:eastAsia="zh-CN"/>
              </w:rPr>
              <w:t>提供《法律法规和其他要求清单》，含法律、法规、标准要求，江苏省地方法规4个。基本符合要求。</w:t>
            </w:r>
          </w:p>
          <w:p>
            <w:pPr>
              <w:ind w:firstLine="400" w:firstLineChars="200"/>
              <w:rPr>
                <w:rFonts w:hint="eastAsia"/>
                <w:color w:val="000000" w:themeColor="text1"/>
                <w:sz w:val="20"/>
                <w:szCs w:val="22"/>
                <w:lang w:val="en-US" w:eastAsia="zh-CN"/>
              </w:rPr>
            </w:pPr>
          </w:p>
          <w:p>
            <w:pPr>
              <w:ind w:firstLine="400" w:firstLineChars="200"/>
              <w:rPr>
                <w:rFonts w:hint="eastAsia"/>
                <w:color w:val="000000" w:themeColor="text1"/>
                <w:sz w:val="20"/>
                <w:szCs w:val="22"/>
                <w:lang w:val="en-US" w:eastAsia="zh-CN"/>
              </w:rPr>
            </w:pPr>
            <w:r>
              <w:rPr>
                <w:rFonts w:hint="eastAsia"/>
                <w:color w:val="000000" w:themeColor="text1"/>
                <w:sz w:val="20"/>
                <w:szCs w:val="22"/>
                <w:lang w:val="en-US" w:eastAsia="zh-CN"/>
              </w:rPr>
              <w:t>提供《能源管理体系合规性评价报告》，编制：许慧宇，批准：杨从兵。时间：2021-6-20。</w:t>
            </w:r>
          </w:p>
          <w:p>
            <w:pPr>
              <w:ind w:firstLine="400" w:firstLineChars="200"/>
              <w:rPr>
                <w:rFonts w:hint="eastAsia"/>
                <w:color w:val="000000" w:themeColor="text1"/>
                <w:sz w:val="20"/>
                <w:szCs w:val="22"/>
                <w:lang w:val="en-US" w:eastAsia="zh-CN"/>
              </w:rPr>
            </w:pPr>
            <w:r>
              <w:rPr>
                <w:rFonts w:hint="eastAsia"/>
                <w:color w:val="000000" w:themeColor="text1"/>
                <w:sz w:val="20"/>
                <w:szCs w:val="22"/>
                <w:lang w:val="en-US" w:eastAsia="zh-CN"/>
              </w:rPr>
              <w:t>在文件中“七、改进的建议</w:t>
            </w:r>
          </w:p>
          <w:p>
            <w:pPr>
              <w:ind w:firstLine="400" w:firstLineChars="200"/>
              <w:rPr>
                <w:rFonts w:hint="eastAsia"/>
                <w:color w:val="000000" w:themeColor="text1"/>
                <w:sz w:val="20"/>
                <w:szCs w:val="22"/>
                <w:lang w:val="en-US" w:eastAsia="zh-CN"/>
              </w:rPr>
            </w:pPr>
            <w:r>
              <w:rPr>
                <w:rFonts w:hint="eastAsia"/>
                <w:color w:val="000000" w:themeColor="text1"/>
                <w:sz w:val="20"/>
                <w:szCs w:val="22"/>
                <w:lang w:val="en-US" w:eastAsia="zh-CN"/>
              </w:rPr>
              <w:t xml:space="preserve">完善能源监测数据的统计上报管理工作，确保统计数据及时准确，便于及时发现能源管理的异常状况，尽快采取措施，减少能源的损失。 </w:t>
            </w:r>
          </w:p>
          <w:p>
            <w:pPr>
              <w:ind w:firstLine="400" w:firstLineChars="200"/>
              <w:rPr>
                <w:rFonts w:hint="eastAsia"/>
                <w:color w:val="000000" w:themeColor="text1"/>
                <w:sz w:val="20"/>
                <w:szCs w:val="22"/>
                <w:lang w:val="en-US" w:eastAsia="zh-CN"/>
              </w:rPr>
            </w:pPr>
            <w:r>
              <w:rPr>
                <w:rFonts w:hint="eastAsia"/>
                <w:color w:val="000000" w:themeColor="text1"/>
                <w:sz w:val="20"/>
                <w:szCs w:val="22"/>
                <w:lang w:val="en-US" w:eastAsia="zh-CN"/>
              </w:rPr>
              <w:t>重要用能设备的维护保养应保留详细记录，便于核查设备运行状况，合理用能。</w:t>
            </w:r>
          </w:p>
          <w:p>
            <w:pPr>
              <w:ind w:firstLine="400" w:firstLineChars="200"/>
              <w:rPr>
                <w:rFonts w:hint="eastAsia"/>
                <w:color w:val="000000" w:themeColor="text1"/>
                <w:sz w:val="20"/>
                <w:szCs w:val="22"/>
                <w:lang w:val="en-US" w:eastAsia="zh-CN"/>
              </w:rPr>
            </w:pPr>
            <w:r>
              <w:rPr>
                <w:rFonts w:hint="eastAsia"/>
                <w:color w:val="000000" w:themeColor="text1"/>
                <w:sz w:val="20"/>
                <w:szCs w:val="22"/>
                <w:lang w:val="en-US" w:eastAsia="zh-CN"/>
              </w:rPr>
              <w:t>八、能源管理合规性评价结论</w:t>
            </w:r>
          </w:p>
          <w:p>
            <w:pPr>
              <w:ind w:firstLine="400" w:firstLineChars="200"/>
              <w:rPr>
                <w:rFonts w:hint="default"/>
                <w:color w:val="000000" w:themeColor="text1"/>
                <w:sz w:val="20"/>
                <w:szCs w:val="22"/>
                <w:lang w:val="en-US" w:eastAsia="zh-CN"/>
              </w:rPr>
            </w:pPr>
            <w:r>
              <w:rPr>
                <w:rFonts w:hint="eastAsia"/>
                <w:color w:val="000000" w:themeColor="text1"/>
                <w:sz w:val="20"/>
                <w:szCs w:val="22"/>
                <w:lang w:val="en-US" w:eastAsia="zh-CN"/>
              </w:rPr>
              <w:t xml:space="preserve"> 通过以上分析，公司各部室、生产现场都能有效对能源进行管理控制发生紧急情况应对措施有效，各部门在现阶段完成目标指标情况较好，能源管理体系的运行满足相关法律法规要求。”</w:t>
            </w:r>
          </w:p>
        </w:tc>
        <w:tc>
          <w:tcPr>
            <w:tcW w:w="1213" w:type="dxa"/>
          </w:tcPr>
          <w:p>
            <w:pPr>
              <w:rPr>
                <w:b/>
                <w:bCs/>
                <w:color w:val="000000" w:themeColor="text1"/>
              </w:rPr>
            </w:pPr>
          </w:p>
          <w:p>
            <w:pPr>
              <w:pStyle w:val="2"/>
              <w:rPr>
                <w:b/>
                <w:bCs/>
                <w:color w:val="000000" w:themeColor="text1"/>
              </w:rPr>
            </w:pPr>
          </w:p>
          <w:p>
            <w:pPr>
              <w:pStyle w:val="2"/>
              <w:rPr>
                <w:b/>
                <w:bCs/>
                <w:color w:val="000000" w:themeColor="text1"/>
              </w:rPr>
            </w:pPr>
          </w:p>
          <w:p>
            <w:pPr>
              <w:pStyle w:val="2"/>
              <w:rPr>
                <w:rFonts w:hint="eastAsia" w:eastAsia="华文细黑"/>
                <w:b/>
                <w:bCs/>
                <w:color w:val="000000" w:themeColor="text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管理评审</w:t>
            </w:r>
          </w:p>
        </w:tc>
        <w:tc>
          <w:tcPr>
            <w:tcW w:w="9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 xml:space="preserve">9.3 </w:t>
            </w:r>
          </w:p>
        </w:tc>
        <w:tc>
          <w:tcPr>
            <w:tcW w:w="10376" w:type="dxa"/>
          </w:tcPr>
          <w:p>
            <w:pPr>
              <w:ind w:firstLine="400" w:firstLineChars="200"/>
              <w:rPr>
                <w:rFonts w:hint="default"/>
                <w:color w:val="000000" w:themeColor="text1"/>
                <w:sz w:val="20"/>
                <w:lang w:val="en-US" w:eastAsia="zh-CN"/>
              </w:rPr>
            </w:pPr>
            <w:r>
              <w:rPr>
                <w:rFonts w:hint="eastAsia"/>
                <w:color w:val="000000" w:themeColor="text1"/>
                <w:sz w:val="20"/>
                <w:lang w:val="en-US" w:eastAsia="zh-CN"/>
              </w:rPr>
              <w:t>提供程序文件《RTY/NY RTY-21-2021管理评审程序》，有编审批，符合标准要求。</w:t>
            </w:r>
          </w:p>
          <w:p>
            <w:pPr>
              <w:ind w:firstLine="400" w:firstLineChars="200"/>
              <w:rPr>
                <w:rFonts w:hint="eastAsia"/>
                <w:color w:val="000000" w:themeColor="text1"/>
                <w:sz w:val="20"/>
                <w:lang w:val="en-US" w:eastAsia="zh-CN"/>
              </w:rPr>
            </w:pPr>
            <w:r>
              <w:rPr>
                <w:rFonts w:hint="eastAsia"/>
                <w:color w:val="000000" w:themeColor="text1"/>
                <w:sz w:val="20"/>
                <w:lang w:val="en-US" w:eastAsia="zh-CN"/>
              </w:rPr>
              <w:t>1、公司自能源管理体系运行以来组织了一次管理评审，日期： 2021年9月20日。</w:t>
            </w:r>
          </w:p>
          <w:p>
            <w:pPr>
              <w:ind w:firstLine="400" w:firstLineChars="200"/>
              <w:rPr>
                <w:rFonts w:hint="eastAsia"/>
                <w:color w:val="000000" w:themeColor="text1"/>
                <w:sz w:val="20"/>
                <w:lang w:val="en-US" w:eastAsia="zh-CN"/>
              </w:rPr>
            </w:pPr>
            <w:r>
              <w:rPr>
                <w:rFonts w:hint="eastAsia"/>
                <w:color w:val="000000" w:themeColor="text1"/>
                <w:sz w:val="20"/>
                <w:lang w:val="en-US" w:eastAsia="zh-CN"/>
              </w:rPr>
              <w:t>采用会议形式，总经理杨从兵主持会议。</w:t>
            </w:r>
          </w:p>
          <w:p>
            <w:pPr>
              <w:ind w:firstLine="400" w:firstLineChars="200"/>
              <w:rPr>
                <w:rFonts w:hint="default"/>
                <w:color w:val="000000" w:themeColor="text1"/>
                <w:sz w:val="20"/>
                <w:lang w:val="en-US" w:eastAsia="zh-CN"/>
              </w:rPr>
            </w:pPr>
            <w:r>
              <w:rPr>
                <w:rFonts w:hint="eastAsia"/>
                <w:color w:val="000000" w:themeColor="text1"/>
                <w:sz w:val="20"/>
                <w:lang w:val="en-US" w:eastAsia="zh-CN"/>
              </w:rPr>
              <w:t>2、提供：管理评审档案，含  1.管理评审计划、2.管理评审报告、3.签到表、各部门管理评审输入资料，编审批齐全。</w:t>
            </w:r>
          </w:p>
          <w:p>
            <w:pPr>
              <w:ind w:firstLine="400" w:firstLineChars="200"/>
              <w:rPr>
                <w:rFonts w:hint="eastAsia"/>
                <w:color w:val="000000" w:themeColor="text1"/>
                <w:sz w:val="20"/>
                <w:lang w:val="en-US" w:eastAsia="zh-CN"/>
              </w:rPr>
            </w:pPr>
            <w:r>
              <w:rPr>
                <w:rFonts w:hint="eastAsia"/>
                <w:color w:val="000000" w:themeColor="text1"/>
                <w:sz w:val="20"/>
                <w:lang w:val="en-US" w:eastAsia="zh-CN"/>
              </w:rPr>
              <w:t>出示“管理评审会议签到表”总经理、中层以上负责人参加并签到；</w:t>
            </w:r>
          </w:p>
          <w:p>
            <w:pPr>
              <w:pStyle w:val="2"/>
              <w:jc w:val="center"/>
              <w:rPr>
                <w:rFonts w:hint="eastAsia"/>
                <w:color w:val="000000" w:themeColor="text1"/>
                <w:lang w:val="en-US" w:eastAsia="zh-CN"/>
              </w:rPr>
            </w:pPr>
            <w:r>
              <w:rPr>
                <w:rFonts w:hint="eastAsia"/>
                <w:color w:val="000000" w:themeColor="text1"/>
                <w:lang w:val="en-US" w:eastAsia="zh-CN"/>
              </w:rPr>
              <w:drawing>
                <wp:inline distT="0" distB="0" distL="114300" distR="114300">
                  <wp:extent cx="2380615" cy="2842260"/>
                  <wp:effectExtent l="0" t="0" r="4445" b="0"/>
                  <wp:docPr id="2" name="图片 2" descr="管理评审会议记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管理评审会议记录"/>
                          <pic:cNvPicPr>
                            <a:picLocks noChangeAspect="1"/>
                          </pic:cNvPicPr>
                        </pic:nvPicPr>
                        <pic:blipFill>
                          <a:blip r:embed="rId6"/>
                          <a:stretch>
                            <a:fillRect/>
                          </a:stretch>
                        </pic:blipFill>
                        <pic:spPr>
                          <a:xfrm>
                            <a:off x="0" y="0"/>
                            <a:ext cx="2380615" cy="2842260"/>
                          </a:xfrm>
                          <a:prstGeom prst="rect">
                            <a:avLst/>
                          </a:prstGeom>
                        </pic:spPr>
                      </pic:pic>
                    </a:graphicData>
                  </a:graphic>
                </wp:inline>
              </w:drawing>
            </w:r>
          </w:p>
          <w:p>
            <w:pPr>
              <w:ind w:firstLine="400" w:firstLineChars="200"/>
              <w:rPr>
                <w:rFonts w:hint="eastAsia"/>
                <w:color w:val="000000" w:themeColor="text1"/>
                <w:sz w:val="20"/>
                <w:lang w:val="en-US" w:eastAsia="zh-CN"/>
              </w:rPr>
            </w:pPr>
            <w:r>
              <w:rPr>
                <w:rFonts w:hint="eastAsia"/>
                <w:color w:val="000000" w:themeColor="text1"/>
                <w:sz w:val="20"/>
                <w:lang w:val="en-US" w:eastAsia="zh-CN"/>
              </w:rPr>
              <w:t>出示“管理评审会议记录”，查评审输入内容包括：</w:t>
            </w:r>
          </w:p>
          <w:p>
            <w:pPr>
              <w:ind w:firstLine="400" w:firstLineChars="200"/>
              <w:rPr>
                <w:rFonts w:hint="eastAsia"/>
                <w:color w:val="000000" w:themeColor="text1"/>
                <w:sz w:val="20"/>
                <w:lang w:val="en-US" w:eastAsia="zh-CN"/>
              </w:rPr>
            </w:pPr>
            <w:r>
              <w:rPr>
                <w:rFonts w:hint="eastAsia"/>
                <w:color w:val="000000" w:themeColor="text1"/>
                <w:sz w:val="20"/>
                <w:lang w:val="en-US" w:eastAsia="zh-CN"/>
              </w:rPr>
              <w:t>3、评审目的：围绕管理方针和目标的贯彻实施，评价能源管理体系的适宜性，充分性和有效性。</w:t>
            </w:r>
          </w:p>
          <w:p>
            <w:pPr>
              <w:ind w:firstLine="400" w:firstLineChars="200"/>
              <w:rPr>
                <w:rFonts w:hint="eastAsia"/>
                <w:color w:val="000000" w:themeColor="text1"/>
                <w:sz w:val="20"/>
                <w:szCs w:val="22"/>
                <w:lang w:val="en-US" w:eastAsia="zh-CN"/>
              </w:rPr>
            </w:pPr>
            <w:r>
              <w:rPr>
                <w:rFonts w:hint="eastAsia"/>
                <w:color w:val="000000" w:themeColor="text1"/>
                <w:sz w:val="20"/>
                <w:szCs w:val="22"/>
                <w:lang w:val="en-US" w:eastAsia="zh-CN"/>
              </w:rPr>
              <w:t>评审组织：主持：总经理，出席：管理者代表、各部门负责人。</w:t>
            </w:r>
          </w:p>
          <w:p>
            <w:pPr>
              <w:ind w:firstLine="400" w:firstLineChars="200"/>
              <w:rPr>
                <w:rFonts w:hint="eastAsia"/>
                <w:color w:val="000000" w:themeColor="text1"/>
                <w:sz w:val="20"/>
                <w:lang w:val="en-US" w:eastAsia="zh-CN"/>
              </w:rPr>
            </w:pPr>
            <w:r>
              <w:rPr>
                <w:rFonts w:hint="eastAsia"/>
                <w:color w:val="000000" w:themeColor="text1"/>
                <w:sz w:val="20"/>
                <w:lang w:val="en-US" w:eastAsia="zh-CN"/>
              </w:rPr>
              <w:t>评审内容：</w:t>
            </w:r>
          </w:p>
          <w:p>
            <w:pPr>
              <w:ind w:firstLine="400" w:firstLineChars="200"/>
              <w:rPr>
                <w:rFonts w:hint="eastAsia"/>
                <w:color w:val="000000" w:themeColor="text1"/>
                <w:sz w:val="20"/>
                <w:lang w:val="en-US" w:eastAsia="zh-CN"/>
              </w:rPr>
            </w:pPr>
            <w:r>
              <w:rPr>
                <w:rFonts w:hint="eastAsia"/>
                <w:color w:val="000000" w:themeColor="text1"/>
                <w:sz w:val="20"/>
                <w:lang w:val="en-US" w:eastAsia="zh-CN"/>
              </w:rPr>
              <w:t>1）以往管理评审所采取措施的状况；</w:t>
            </w:r>
          </w:p>
          <w:p>
            <w:pPr>
              <w:ind w:firstLine="400" w:firstLineChars="200"/>
              <w:rPr>
                <w:rFonts w:hint="eastAsia"/>
                <w:color w:val="000000" w:themeColor="text1"/>
                <w:sz w:val="20"/>
                <w:lang w:val="en-US" w:eastAsia="zh-CN"/>
              </w:rPr>
            </w:pPr>
            <w:r>
              <w:rPr>
                <w:rFonts w:hint="eastAsia"/>
                <w:color w:val="000000" w:themeColor="text1"/>
                <w:sz w:val="20"/>
                <w:lang w:val="en-US" w:eastAsia="zh-CN"/>
              </w:rPr>
              <w:t>2）与能源管理体系相关的内、外部因素以及相关的风险和机遇的变化；</w:t>
            </w:r>
          </w:p>
          <w:p>
            <w:pPr>
              <w:ind w:firstLine="400" w:firstLineChars="200"/>
              <w:rPr>
                <w:rFonts w:hint="eastAsia"/>
                <w:color w:val="000000" w:themeColor="text1"/>
                <w:sz w:val="20"/>
                <w:lang w:val="en-US" w:eastAsia="zh-CN"/>
              </w:rPr>
            </w:pPr>
            <w:r>
              <w:rPr>
                <w:rFonts w:hint="eastAsia"/>
                <w:color w:val="000000" w:themeColor="text1"/>
                <w:sz w:val="20"/>
                <w:lang w:val="en-US" w:eastAsia="zh-CN"/>
              </w:rPr>
              <w:t>3）有关能源管理体系绩效方面的信息，包括其趋势：不符合和纠正措施；监视和测量结果；审核结果；法律法规和其他要求的符合性评价结果。</w:t>
            </w:r>
          </w:p>
          <w:p>
            <w:pPr>
              <w:ind w:firstLine="400" w:firstLineChars="200"/>
              <w:rPr>
                <w:rFonts w:hint="eastAsia"/>
                <w:color w:val="000000" w:themeColor="text1"/>
                <w:sz w:val="20"/>
                <w:lang w:val="en-US" w:eastAsia="zh-CN"/>
              </w:rPr>
            </w:pPr>
            <w:r>
              <w:rPr>
                <w:rFonts w:hint="eastAsia"/>
                <w:color w:val="000000" w:themeColor="text1"/>
                <w:sz w:val="20"/>
                <w:lang w:val="en-US" w:eastAsia="zh-CN"/>
              </w:rPr>
              <w:t>4）持续改进的机会，包括人员能力；</w:t>
            </w:r>
          </w:p>
          <w:p>
            <w:pPr>
              <w:ind w:firstLine="400" w:firstLineChars="200"/>
              <w:rPr>
                <w:rFonts w:hint="eastAsia"/>
                <w:color w:val="000000" w:themeColor="text1"/>
                <w:sz w:val="20"/>
                <w:lang w:val="en-US" w:eastAsia="zh-CN"/>
              </w:rPr>
            </w:pPr>
            <w:r>
              <w:rPr>
                <w:rFonts w:hint="eastAsia"/>
                <w:color w:val="000000" w:themeColor="text1"/>
                <w:sz w:val="20"/>
                <w:lang w:val="en-US" w:eastAsia="zh-CN"/>
              </w:rPr>
              <w:t>5）能源方针；</w:t>
            </w:r>
          </w:p>
          <w:p>
            <w:pPr>
              <w:ind w:firstLine="400" w:firstLineChars="200"/>
              <w:rPr>
                <w:rFonts w:hint="eastAsia"/>
                <w:color w:val="000000" w:themeColor="text1"/>
                <w:sz w:val="20"/>
                <w:lang w:val="en-US" w:eastAsia="zh-CN"/>
              </w:rPr>
            </w:pPr>
            <w:r>
              <w:rPr>
                <w:rFonts w:hint="eastAsia"/>
                <w:color w:val="000000" w:themeColor="text1"/>
                <w:sz w:val="20"/>
                <w:lang w:val="en-US" w:eastAsia="zh-CN"/>
              </w:rPr>
              <w:t xml:space="preserve">6）能源绩效有关的信息，应包括：目标和能源指标的实现程度；基于监视和测量结果（包括能源绩效参数）的能源绩效和能源绩效改进；措施计划的状况。 </w:t>
            </w:r>
          </w:p>
          <w:p>
            <w:pPr>
              <w:ind w:firstLine="400" w:firstLineChars="200"/>
              <w:rPr>
                <w:rFonts w:hint="eastAsia"/>
                <w:color w:val="000000" w:themeColor="text1"/>
                <w:sz w:val="20"/>
                <w:lang w:val="en-US" w:eastAsia="zh-CN"/>
              </w:rPr>
            </w:pPr>
            <w:r>
              <w:rPr>
                <w:rFonts w:hint="eastAsia"/>
                <w:color w:val="000000" w:themeColor="text1"/>
                <w:sz w:val="20"/>
                <w:lang w:val="en-US" w:eastAsia="zh-CN"/>
              </w:rPr>
              <w:t xml:space="preserve">4、管理评审输出，形成《管理评审报告》编审批齐全 。内容包括：   </w:t>
            </w:r>
          </w:p>
          <w:p>
            <w:pPr>
              <w:ind w:firstLine="400" w:firstLineChars="200"/>
              <w:rPr>
                <w:rFonts w:hint="eastAsia"/>
                <w:color w:val="000000" w:themeColor="text1"/>
                <w:sz w:val="20"/>
                <w:lang w:val="en-US" w:eastAsia="zh-CN"/>
              </w:rPr>
            </w:pPr>
            <w:r>
              <w:rPr>
                <w:rFonts w:hint="eastAsia"/>
                <w:color w:val="000000" w:themeColor="text1"/>
                <w:sz w:val="20"/>
                <w:lang w:val="en-US" w:eastAsia="zh-CN"/>
              </w:rPr>
              <w:t>管理评审结论：</w:t>
            </w:r>
          </w:p>
          <w:p>
            <w:pPr>
              <w:ind w:firstLine="400" w:firstLineChars="200"/>
              <w:rPr>
                <w:rFonts w:hint="eastAsia"/>
                <w:color w:val="000000" w:themeColor="text1"/>
                <w:sz w:val="20"/>
                <w:lang w:val="en-US" w:eastAsia="zh-CN"/>
              </w:rPr>
            </w:pPr>
            <w:r>
              <w:rPr>
                <w:rFonts w:hint="eastAsia"/>
                <w:color w:val="000000" w:themeColor="text1"/>
                <w:sz w:val="20"/>
                <w:lang w:val="en-US" w:eastAsia="zh-CN"/>
              </w:rPr>
              <w:t>公司建立和实施的能源管理体系基本符合ISO50001：2018及相关法律法规及公司能源管理体系文件的特点，适合公司能源管理的实际情况。现将此次能源管理体系管理评审情况汇总如下：</w:t>
            </w:r>
          </w:p>
          <w:p>
            <w:pPr>
              <w:ind w:firstLine="400" w:firstLineChars="200"/>
              <w:rPr>
                <w:rFonts w:hint="eastAsia"/>
                <w:color w:val="000000" w:themeColor="text1"/>
                <w:sz w:val="20"/>
                <w:lang w:val="en-US" w:eastAsia="zh-CN"/>
              </w:rPr>
            </w:pPr>
            <w:r>
              <w:rPr>
                <w:rFonts w:hint="eastAsia"/>
                <w:color w:val="000000" w:themeColor="text1"/>
                <w:sz w:val="20"/>
                <w:lang w:val="en-US" w:eastAsia="zh-CN"/>
              </w:rPr>
              <w:t>1.改进能源绩效的机会</w:t>
            </w:r>
          </w:p>
          <w:p>
            <w:pPr>
              <w:ind w:firstLine="400" w:firstLineChars="200"/>
              <w:rPr>
                <w:rFonts w:hint="eastAsia"/>
                <w:color w:val="000000" w:themeColor="text1"/>
                <w:sz w:val="20"/>
                <w:lang w:val="en-US" w:eastAsia="zh-CN"/>
              </w:rPr>
            </w:pPr>
            <w:r>
              <w:rPr>
                <w:rFonts w:hint="eastAsia"/>
                <w:color w:val="000000" w:themeColor="text1"/>
                <w:sz w:val="20"/>
                <w:lang w:val="en-US" w:eastAsia="zh-CN"/>
              </w:rPr>
              <w:t>管理部、制造部组织对主要用能设备进行了识别，建立了《主要用能设备台账》，对主要用能设备的能源消耗影响因素及相关变量进行了分析，识别了能源绩效改进的机会，并进行了排序。</w:t>
            </w:r>
          </w:p>
          <w:p>
            <w:pPr>
              <w:ind w:firstLine="400" w:firstLineChars="200"/>
              <w:rPr>
                <w:rFonts w:hint="eastAsia"/>
                <w:color w:val="000000" w:themeColor="text1"/>
                <w:sz w:val="20"/>
                <w:lang w:val="en-US" w:eastAsia="zh-CN"/>
              </w:rPr>
            </w:pPr>
            <w:r>
              <w:rPr>
                <w:rFonts w:hint="eastAsia"/>
                <w:color w:val="000000" w:themeColor="text1"/>
                <w:sz w:val="20"/>
                <w:lang w:val="en-US" w:eastAsia="zh-CN"/>
              </w:rPr>
              <w:t>2、能源方针</w:t>
            </w:r>
          </w:p>
          <w:p>
            <w:pPr>
              <w:ind w:firstLine="400" w:firstLineChars="200"/>
              <w:rPr>
                <w:rFonts w:hint="eastAsia"/>
                <w:color w:val="000000" w:themeColor="text1"/>
                <w:sz w:val="20"/>
                <w:lang w:val="en-US" w:eastAsia="zh-CN"/>
              </w:rPr>
            </w:pPr>
            <w:r>
              <w:rPr>
                <w:rFonts w:hint="eastAsia"/>
                <w:color w:val="000000" w:themeColor="text1"/>
                <w:sz w:val="20"/>
                <w:lang w:val="en-US" w:eastAsia="zh-CN"/>
              </w:rPr>
              <w:t xml:space="preserve">   公司的能源方针如下：公司以科学发展观统领全局，本着“节约资源、降低能耗、和谐发展、绿色物业”的原则，大力开展节能减排活动。建立健全节能减排规章制度，形成节能减排、保护环境、构建节约型企业的长效机制。能源管理手册中对方针含义进行了解释，基本与公司的实际情况相符，不需要进行修订。能源方针已随能源管理手册下发至体系范围内各部门进行了沟通和传达。</w:t>
            </w:r>
          </w:p>
          <w:p>
            <w:pPr>
              <w:ind w:firstLine="400" w:firstLineChars="200"/>
              <w:rPr>
                <w:rFonts w:hint="eastAsia"/>
                <w:color w:val="000000" w:themeColor="text1"/>
                <w:sz w:val="20"/>
                <w:lang w:val="en-US" w:eastAsia="zh-CN"/>
              </w:rPr>
            </w:pPr>
            <w:r>
              <w:rPr>
                <w:rFonts w:hint="eastAsia"/>
                <w:color w:val="000000" w:themeColor="text1"/>
                <w:sz w:val="20"/>
                <w:lang w:val="en-US" w:eastAsia="zh-CN"/>
              </w:rPr>
              <w:t>3、能源绩效参数、能源基准</w:t>
            </w:r>
          </w:p>
          <w:p>
            <w:pPr>
              <w:ind w:firstLine="400" w:firstLineChars="200"/>
              <w:rPr>
                <w:rFonts w:hint="eastAsia"/>
                <w:color w:val="000000" w:themeColor="text1"/>
                <w:sz w:val="20"/>
                <w:lang w:val="en-US" w:eastAsia="zh-CN"/>
              </w:rPr>
            </w:pPr>
            <w:r>
              <w:rPr>
                <w:rFonts w:hint="eastAsia"/>
                <w:color w:val="000000" w:themeColor="text1"/>
                <w:sz w:val="20"/>
                <w:lang w:val="en-US" w:eastAsia="zh-CN"/>
              </w:rPr>
              <w:t>管理部、技术部组织编制了《基准比较选择表》，</w:t>
            </w:r>
            <w:r>
              <w:rPr>
                <w:rFonts w:hint="eastAsia"/>
                <w:color w:val="0000FF"/>
                <w:sz w:val="20"/>
                <w:lang w:val="en-US" w:eastAsia="zh-CN"/>
              </w:rPr>
              <w:t>以2019年的实际单位产品能耗为2020年的目标值。</w:t>
            </w:r>
          </w:p>
          <w:p>
            <w:pPr>
              <w:ind w:firstLine="400" w:firstLineChars="200"/>
              <w:rPr>
                <w:rFonts w:hint="eastAsia"/>
                <w:color w:val="000000" w:themeColor="text1"/>
                <w:sz w:val="20"/>
                <w:lang w:val="en-US" w:eastAsia="zh-CN"/>
              </w:rPr>
            </w:pPr>
            <w:r>
              <w:rPr>
                <w:rFonts w:hint="eastAsia"/>
                <w:color w:val="000000" w:themeColor="text1"/>
                <w:sz w:val="20"/>
                <w:lang w:val="en-US" w:eastAsia="zh-CN"/>
              </w:rPr>
              <w:t>管理部、技术部组织编制了《公司能源绩效参数表》，能源绩效</w:t>
            </w:r>
            <w:bookmarkStart w:id="0" w:name="_GoBack"/>
            <w:bookmarkEnd w:id="0"/>
            <w:r>
              <w:rPr>
                <w:rFonts w:hint="eastAsia"/>
                <w:color w:val="000000" w:themeColor="text1"/>
                <w:sz w:val="20"/>
                <w:lang w:val="en-US" w:eastAsia="zh-CN"/>
              </w:rPr>
              <w:t>参数指标与能源基准指标相同，此外，对设备层面的能源绩效参数进行了识别，基本完整。</w:t>
            </w:r>
          </w:p>
          <w:p>
            <w:pPr>
              <w:ind w:firstLine="400" w:firstLineChars="200"/>
              <w:rPr>
                <w:rFonts w:hint="eastAsia"/>
                <w:color w:val="000000" w:themeColor="text1"/>
                <w:sz w:val="20"/>
                <w:lang w:val="en-US" w:eastAsia="zh-CN"/>
              </w:rPr>
            </w:pPr>
            <w:r>
              <w:rPr>
                <w:rFonts w:hint="eastAsia"/>
                <w:color w:val="000000" w:themeColor="text1"/>
                <w:sz w:val="20"/>
                <w:lang w:val="en-US" w:eastAsia="zh-CN"/>
              </w:rPr>
              <w:t>4.目标、能源指标、措施计划或能源管理体系的其他要素，以及未实现时将采取的措施。</w:t>
            </w:r>
          </w:p>
          <w:p>
            <w:pPr>
              <w:ind w:firstLine="400" w:firstLineChars="200"/>
              <w:rPr>
                <w:rFonts w:hint="eastAsia"/>
                <w:color w:val="000000" w:themeColor="text1"/>
                <w:sz w:val="20"/>
                <w:lang w:val="en-US" w:eastAsia="zh-CN"/>
              </w:rPr>
            </w:pPr>
            <w:r>
              <w:rPr>
                <w:rFonts w:hint="eastAsia"/>
                <w:color w:val="000000" w:themeColor="text1"/>
                <w:sz w:val="20"/>
                <w:lang w:val="en-US" w:eastAsia="zh-CN"/>
              </w:rPr>
              <w:t>管理部、技术部组织编制了《目标指标控制表》，包括公司级目标/能源指标，覆盖了主要用能种类，主要用能区域及主要用能设备，与能源基准值相比有下降，基本合理。</w:t>
            </w:r>
          </w:p>
          <w:p>
            <w:pPr>
              <w:ind w:firstLine="400" w:firstLineChars="200"/>
              <w:rPr>
                <w:rFonts w:hint="eastAsia"/>
                <w:color w:val="000000" w:themeColor="text1"/>
                <w:sz w:val="20"/>
                <w:lang w:val="en-US" w:eastAsia="zh-CN"/>
              </w:rPr>
            </w:pPr>
            <w:r>
              <w:rPr>
                <w:rFonts w:hint="eastAsia"/>
                <w:color w:val="000000" w:themeColor="text1"/>
                <w:sz w:val="20"/>
                <w:lang w:val="en-US" w:eastAsia="zh-CN"/>
              </w:rPr>
              <w:t>编制了《措施计划控制表》，共制定了2项措施计划，均为能源评审过程中识别的能源绩效改进机会。</w:t>
            </w:r>
          </w:p>
          <w:p>
            <w:pPr>
              <w:ind w:firstLine="400" w:firstLineChars="200"/>
              <w:rPr>
                <w:rFonts w:hint="eastAsia"/>
                <w:color w:val="000000" w:themeColor="text1"/>
                <w:sz w:val="20"/>
                <w:lang w:val="en-US" w:eastAsia="zh-CN"/>
              </w:rPr>
            </w:pPr>
            <w:r>
              <w:rPr>
                <w:rFonts w:hint="eastAsia"/>
                <w:color w:val="000000" w:themeColor="text1"/>
                <w:sz w:val="20"/>
                <w:lang w:val="en-US" w:eastAsia="zh-CN"/>
              </w:rPr>
              <w:t>5.改进融入业务过程的机会</w:t>
            </w:r>
          </w:p>
          <w:p>
            <w:pPr>
              <w:ind w:firstLine="400" w:firstLineChars="200"/>
              <w:rPr>
                <w:rFonts w:hint="eastAsia"/>
                <w:color w:val="000000" w:themeColor="text1"/>
                <w:sz w:val="20"/>
                <w:lang w:val="en-US" w:eastAsia="zh-CN"/>
              </w:rPr>
            </w:pPr>
            <w:r>
              <w:rPr>
                <w:rFonts w:hint="eastAsia"/>
                <w:color w:val="000000" w:themeColor="text1"/>
                <w:sz w:val="20"/>
                <w:lang w:val="en-US" w:eastAsia="zh-CN"/>
              </w:rPr>
              <w:t>管理部通过与最高领导者及各部门沟通交流，对公司所处的内外部环境进行了识别，组织对相关方的需求进行了了解，识别了公司面临的风险和机遇，并制定了相应的应对措施，这些措施将在后续公司相关的业务流程中得到贯彻执行。</w:t>
            </w:r>
          </w:p>
          <w:p>
            <w:pPr>
              <w:ind w:firstLine="400" w:firstLineChars="200"/>
              <w:rPr>
                <w:rFonts w:hint="eastAsia"/>
                <w:color w:val="000000" w:themeColor="text1"/>
                <w:sz w:val="20"/>
                <w:lang w:val="en-US" w:eastAsia="zh-CN"/>
              </w:rPr>
            </w:pPr>
            <w:r>
              <w:rPr>
                <w:rFonts w:hint="eastAsia"/>
                <w:color w:val="000000" w:themeColor="text1"/>
                <w:sz w:val="20"/>
                <w:lang w:val="en-US" w:eastAsia="zh-CN"/>
              </w:rPr>
              <w:t>6.资源分配</w:t>
            </w:r>
          </w:p>
          <w:p>
            <w:pPr>
              <w:ind w:firstLine="400" w:firstLineChars="200"/>
              <w:rPr>
                <w:rFonts w:hint="eastAsia"/>
                <w:color w:val="000000" w:themeColor="text1"/>
                <w:sz w:val="20"/>
                <w:lang w:val="en-US" w:eastAsia="zh-CN"/>
              </w:rPr>
            </w:pPr>
            <w:r>
              <w:rPr>
                <w:rFonts w:hint="eastAsia"/>
                <w:color w:val="000000" w:themeColor="text1"/>
                <w:sz w:val="20"/>
                <w:lang w:val="en-US" w:eastAsia="zh-CN"/>
              </w:rPr>
              <w:t>公司管理层为了确保能源管理体系持续有效运行，承诺将持续完善公司的人员、专业技能、技术、数据、基础设施和财务资源等方面资源配置，并在公司年度预算中加大节能技术及节能改造的资金投入。</w:t>
            </w:r>
          </w:p>
          <w:p>
            <w:pPr>
              <w:ind w:firstLine="400" w:firstLineChars="200"/>
              <w:rPr>
                <w:rFonts w:hint="eastAsia"/>
                <w:color w:val="000000" w:themeColor="text1"/>
                <w:sz w:val="20"/>
                <w:lang w:val="en-US" w:eastAsia="zh-CN"/>
              </w:rPr>
            </w:pPr>
            <w:r>
              <w:rPr>
                <w:rFonts w:hint="eastAsia"/>
                <w:color w:val="000000" w:themeColor="text1"/>
                <w:sz w:val="20"/>
                <w:lang w:val="en-US" w:eastAsia="zh-CN"/>
              </w:rPr>
              <w:t>7.能力、意识和沟通的改进。</w:t>
            </w:r>
          </w:p>
          <w:p>
            <w:pPr>
              <w:ind w:firstLine="400" w:firstLineChars="200"/>
              <w:rPr>
                <w:rFonts w:hint="eastAsia"/>
                <w:color w:val="000000" w:themeColor="text1"/>
                <w:sz w:val="20"/>
                <w:lang w:val="en-US" w:eastAsia="zh-CN"/>
              </w:rPr>
            </w:pPr>
            <w:r>
              <w:rPr>
                <w:rFonts w:hint="eastAsia"/>
                <w:color w:val="000000" w:themeColor="text1"/>
                <w:sz w:val="20"/>
                <w:lang w:val="en-US" w:eastAsia="zh-CN"/>
              </w:rPr>
              <w:t>管理部吧制定了年度培训计划，包含有常规培训及能源管理相关培训，通过提供培训，与主要能源使用相关的人员基本意识到到符合能源方针、程序和能源管理体系要求的重要性，了解自己的作用、职责和权限，意识到他们工作和活动对能源使用和消耗产生的的实际或潜在影响，意识到其活动和行为对实现能源目标和指标的贡献，以及偏离规定程序的潜在后果。</w:t>
            </w:r>
          </w:p>
          <w:p>
            <w:pPr>
              <w:ind w:firstLine="400" w:firstLineChars="200"/>
              <w:rPr>
                <w:rFonts w:hint="eastAsia"/>
                <w:color w:val="000000" w:themeColor="text1"/>
                <w:sz w:val="20"/>
                <w:lang w:val="en-US" w:eastAsia="zh-CN"/>
              </w:rPr>
            </w:pPr>
            <w:r>
              <w:rPr>
                <w:rFonts w:hint="eastAsia"/>
                <w:color w:val="000000" w:themeColor="text1"/>
                <w:sz w:val="20"/>
                <w:lang w:val="en-US" w:eastAsia="zh-CN"/>
              </w:rPr>
              <w:t>内部信息交流：管理部通过从财务部及上合花园技术部收集公司能耗数据等数据，对指标完成情况进行了统计，若有异常，进行分析，极大了推动了公司节能工作的开展。</w:t>
            </w:r>
          </w:p>
          <w:p>
            <w:pPr>
              <w:ind w:firstLine="400" w:firstLineChars="200"/>
              <w:rPr>
                <w:rFonts w:hint="eastAsia"/>
                <w:color w:val="000000" w:themeColor="text1"/>
                <w:sz w:val="20"/>
                <w:lang w:val="en-US" w:eastAsia="zh-CN"/>
              </w:rPr>
            </w:pPr>
            <w:r>
              <w:rPr>
                <w:rFonts w:hint="eastAsia"/>
                <w:color w:val="000000" w:themeColor="text1"/>
                <w:sz w:val="20"/>
                <w:lang w:val="en-US" w:eastAsia="zh-CN"/>
              </w:rPr>
              <w:t>公司能源管理体系整体来看保持了持续的适宜性、充分性和有效性。</w:t>
            </w:r>
          </w:p>
          <w:p>
            <w:pPr>
              <w:ind w:firstLine="400" w:firstLineChars="200"/>
              <w:rPr>
                <w:rFonts w:hint="eastAsia"/>
                <w:color w:val="000000" w:themeColor="text1"/>
                <w:sz w:val="20"/>
                <w:lang w:val="en-US" w:eastAsia="zh-CN"/>
              </w:rPr>
            </w:pPr>
            <w:r>
              <w:rPr>
                <w:rFonts w:hint="eastAsia"/>
                <w:color w:val="000000" w:themeColor="text1"/>
                <w:sz w:val="20"/>
                <w:lang w:val="en-US" w:eastAsia="zh-CN"/>
              </w:rPr>
              <w:t>综合结论：本公司能源管理体系是适宜的、充分的和有效的。</w:t>
            </w:r>
          </w:p>
          <w:p>
            <w:pPr>
              <w:ind w:firstLine="400" w:firstLineChars="200"/>
              <w:rPr>
                <w:rFonts w:hint="eastAsia"/>
                <w:color w:val="000000" w:themeColor="text1"/>
                <w:sz w:val="20"/>
                <w:lang w:val="en-US" w:eastAsia="zh-CN"/>
              </w:rPr>
            </w:pPr>
            <w:r>
              <w:rPr>
                <w:rFonts w:hint="eastAsia"/>
                <w:color w:val="000000" w:themeColor="text1"/>
                <w:sz w:val="20"/>
                <w:lang w:val="en-US" w:eastAsia="zh-CN"/>
              </w:rPr>
              <w:t>5、纠正措施和预防措施的实施情况</w:t>
            </w:r>
          </w:p>
          <w:p>
            <w:pPr>
              <w:ind w:firstLine="400" w:firstLineChars="200"/>
              <w:rPr>
                <w:rFonts w:hint="eastAsia"/>
                <w:color w:val="000000" w:themeColor="text1"/>
                <w:sz w:val="20"/>
                <w:lang w:val="en-US" w:eastAsia="zh-CN"/>
              </w:rPr>
            </w:pPr>
            <w:r>
              <w:rPr>
                <w:rFonts w:hint="eastAsia"/>
                <w:color w:val="000000" w:themeColor="text1"/>
                <w:sz w:val="20"/>
                <w:lang w:val="en-US" w:eastAsia="zh-CN"/>
              </w:rPr>
              <w:t>评审的决定和措施项目内容摘要：</w:t>
            </w:r>
          </w:p>
          <w:p>
            <w:pPr>
              <w:ind w:firstLine="400" w:firstLineChars="200"/>
              <w:rPr>
                <w:rFonts w:hint="eastAsia"/>
                <w:color w:val="000000" w:themeColor="text1"/>
                <w:sz w:val="20"/>
                <w:lang w:val="en-US" w:eastAsia="zh-CN"/>
              </w:rPr>
            </w:pPr>
            <w:r>
              <w:rPr>
                <w:rFonts w:hint="eastAsia"/>
                <w:color w:val="000000" w:themeColor="text1"/>
                <w:sz w:val="20"/>
                <w:lang w:val="en-US" w:eastAsia="zh-CN"/>
              </w:rPr>
              <w:t>1、加强加强新版标准的学习。</w:t>
            </w:r>
          </w:p>
          <w:p>
            <w:pPr>
              <w:ind w:firstLine="400" w:firstLineChars="200"/>
              <w:rPr>
                <w:rFonts w:hint="eastAsia"/>
                <w:color w:val="000000" w:themeColor="text1"/>
                <w:sz w:val="20"/>
                <w:lang w:val="en-US" w:eastAsia="zh-CN"/>
              </w:rPr>
            </w:pPr>
            <w:r>
              <w:rPr>
                <w:rFonts w:hint="eastAsia"/>
                <w:color w:val="000000" w:themeColor="text1"/>
                <w:sz w:val="20"/>
                <w:lang w:val="en-US" w:eastAsia="zh-CN"/>
              </w:rPr>
              <w:t>2、持续推进《能源使用评价表》中识别的能源绩效改进机会。</w:t>
            </w:r>
          </w:p>
        </w:tc>
        <w:tc>
          <w:tcPr>
            <w:tcW w:w="1213"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tcPr>
          <w:p>
            <w:pPr>
              <w:rPr>
                <w:rFonts w:hint="default" w:ascii="宋体" w:hAnsi="宋体" w:eastAsia="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不符合纠正</w:t>
            </w:r>
          </w:p>
        </w:tc>
        <w:tc>
          <w:tcPr>
            <w:tcW w:w="960" w:type="dxa"/>
          </w:tcPr>
          <w:p>
            <w:pPr>
              <w:rPr>
                <w:rFonts w:hint="default" w:ascii="宋体" w:hAnsi="宋体" w:eastAsia="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10.1</w:t>
            </w:r>
          </w:p>
        </w:tc>
        <w:tc>
          <w:tcPr>
            <w:tcW w:w="10376" w:type="dxa"/>
          </w:tcPr>
          <w:p>
            <w:pPr>
              <w:ind w:firstLine="400" w:firstLineChars="200"/>
              <w:rPr>
                <w:rFonts w:hint="eastAsia"/>
                <w:color w:val="000000" w:themeColor="text1"/>
                <w:sz w:val="20"/>
                <w:szCs w:val="22"/>
                <w:lang w:val="en-US" w:eastAsia="zh-CN"/>
              </w:rPr>
            </w:pPr>
            <w:r>
              <w:rPr>
                <w:rFonts w:hint="eastAsia"/>
                <w:color w:val="000000" w:themeColor="text1"/>
                <w:sz w:val="20"/>
                <w:szCs w:val="22"/>
                <w:lang w:val="en-US" w:eastAsia="zh-CN"/>
              </w:rPr>
              <w:t>提供《RTY/NY RTY-22-2021</w:t>
            </w:r>
            <w:r>
              <w:rPr>
                <w:rFonts w:hint="eastAsia"/>
                <w:color w:val="000000" w:themeColor="text1"/>
                <w:sz w:val="20"/>
                <w:szCs w:val="22"/>
                <w:lang w:val="en-US" w:eastAsia="zh-CN"/>
              </w:rPr>
              <w:tab/>
            </w:r>
            <w:r>
              <w:rPr>
                <w:rFonts w:hint="eastAsia"/>
                <w:color w:val="000000" w:themeColor="text1"/>
                <w:sz w:val="20"/>
                <w:szCs w:val="22"/>
                <w:lang w:val="en-US" w:eastAsia="zh-CN"/>
              </w:rPr>
              <w:t>不符合及纠正措施控制程序》，有编审批，符合标准要求。</w:t>
            </w:r>
          </w:p>
          <w:p>
            <w:pPr>
              <w:ind w:firstLine="400" w:firstLineChars="200"/>
              <w:rPr>
                <w:rFonts w:hint="eastAsia"/>
                <w:color w:val="000000" w:themeColor="text1"/>
                <w:sz w:val="20"/>
                <w:szCs w:val="22"/>
                <w:lang w:val="en-US" w:eastAsia="zh-CN"/>
              </w:rPr>
            </w:pPr>
            <w:r>
              <w:rPr>
                <w:rFonts w:hint="eastAsia"/>
                <w:color w:val="000000" w:themeColor="text1"/>
                <w:sz w:val="20"/>
                <w:szCs w:val="22"/>
                <w:lang w:val="en-US" w:eastAsia="zh-CN"/>
              </w:rPr>
              <w:t>采取的纠正措施与改进措施，对下一阶段能源绩效的规划，经过能源管理体系的运行，能源管理取得了较好能效，结合能源管理现状及改进空间，总经理及管理者代表对公司下一阶段能源绩效进行了再规划：</w:t>
            </w:r>
          </w:p>
          <w:p>
            <w:pPr>
              <w:ind w:firstLine="400" w:firstLineChars="200"/>
              <w:rPr>
                <w:rFonts w:hint="eastAsia"/>
                <w:color w:val="000000" w:themeColor="text1"/>
                <w:sz w:val="20"/>
                <w:szCs w:val="22"/>
                <w:lang w:val="en-US" w:eastAsia="zh-CN"/>
              </w:rPr>
            </w:pPr>
            <w:r>
              <w:rPr>
                <w:rFonts w:hint="eastAsia"/>
                <w:color w:val="000000" w:themeColor="text1"/>
                <w:sz w:val="20"/>
                <w:szCs w:val="22"/>
                <w:lang w:val="en-US" w:eastAsia="zh-CN"/>
              </w:rPr>
              <w:t>通过管理体系的运行，我们也发现了我公司的管理中还存在一些问题，如：</w:t>
            </w:r>
          </w:p>
          <w:p>
            <w:pPr>
              <w:ind w:firstLine="400" w:firstLineChars="200"/>
              <w:rPr>
                <w:rFonts w:hint="eastAsia"/>
                <w:color w:val="000000" w:themeColor="text1"/>
                <w:sz w:val="20"/>
                <w:szCs w:val="22"/>
                <w:lang w:val="en-US" w:eastAsia="zh-CN"/>
              </w:rPr>
            </w:pPr>
            <w:r>
              <w:rPr>
                <w:rFonts w:hint="eastAsia"/>
                <w:color w:val="000000" w:themeColor="text1"/>
                <w:sz w:val="20"/>
                <w:szCs w:val="22"/>
                <w:lang w:val="en-US" w:eastAsia="zh-CN"/>
              </w:rPr>
              <w:t>1．进一步明确能源数据统计的职责划分，确保数据及时准确。</w:t>
            </w:r>
          </w:p>
          <w:p>
            <w:pPr>
              <w:ind w:firstLine="400" w:firstLineChars="200"/>
              <w:rPr>
                <w:rFonts w:hint="eastAsia"/>
                <w:color w:val="000000" w:themeColor="text1"/>
                <w:sz w:val="20"/>
                <w:szCs w:val="22"/>
                <w:lang w:val="en-US" w:eastAsia="zh-CN"/>
              </w:rPr>
            </w:pPr>
            <w:r>
              <w:rPr>
                <w:rFonts w:hint="eastAsia"/>
                <w:color w:val="000000" w:themeColor="text1"/>
                <w:sz w:val="20"/>
                <w:szCs w:val="22"/>
                <w:lang w:val="en-US" w:eastAsia="zh-CN"/>
              </w:rPr>
              <w:t>2．开展合理化建议活动，规定节能奖励制度，充分调动全员参与节能的积极性。</w:t>
            </w:r>
          </w:p>
          <w:p>
            <w:pPr>
              <w:ind w:firstLine="400" w:firstLineChars="200"/>
              <w:rPr>
                <w:rFonts w:hint="eastAsia"/>
                <w:color w:val="000000" w:themeColor="text1"/>
                <w:sz w:val="20"/>
                <w:szCs w:val="22"/>
                <w:lang w:val="en-US" w:eastAsia="zh-CN"/>
              </w:rPr>
            </w:pPr>
            <w:r>
              <w:rPr>
                <w:rFonts w:hint="eastAsia"/>
                <w:color w:val="000000" w:themeColor="text1"/>
                <w:sz w:val="20"/>
                <w:szCs w:val="22"/>
                <w:lang w:val="en-US" w:eastAsia="zh-CN"/>
              </w:rPr>
              <w:t>3. 进一步细化重点耗能设备的维护保养要求，及时保留维护、维修记录。以便总结节能管理的方法。</w:t>
            </w:r>
          </w:p>
        </w:tc>
        <w:tc>
          <w:tcPr>
            <w:tcW w:w="1213"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持续改进</w:t>
            </w:r>
          </w:p>
        </w:tc>
        <w:tc>
          <w:tcPr>
            <w:tcW w:w="9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 xml:space="preserve">10.2 </w:t>
            </w:r>
          </w:p>
        </w:tc>
        <w:tc>
          <w:tcPr>
            <w:tcW w:w="10376" w:type="dxa"/>
          </w:tcPr>
          <w:p>
            <w:pPr>
              <w:ind w:firstLine="400" w:firstLineChars="200"/>
              <w:rPr>
                <w:rFonts w:hint="eastAsia"/>
                <w:color w:val="000000" w:themeColor="text1"/>
                <w:sz w:val="20"/>
                <w:szCs w:val="22"/>
                <w:lang w:val="en-US" w:eastAsia="zh-CN"/>
              </w:rPr>
            </w:pPr>
            <w:r>
              <w:rPr>
                <w:rFonts w:hint="eastAsia"/>
                <w:color w:val="000000" w:themeColor="text1"/>
                <w:sz w:val="20"/>
                <w:szCs w:val="22"/>
                <w:lang w:val="en-US" w:eastAsia="zh-CN"/>
              </w:rPr>
              <w:t>近期改进的方面：</w:t>
            </w:r>
          </w:p>
          <w:p>
            <w:pPr>
              <w:ind w:firstLine="400" w:firstLineChars="200"/>
              <w:rPr>
                <w:rFonts w:hint="eastAsia"/>
                <w:color w:val="000000" w:themeColor="text1"/>
                <w:sz w:val="20"/>
                <w:szCs w:val="22"/>
                <w:lang w:val="en-US" w:eastAsia="zh-CN"/>
              </w:rPr>
            </w:pPr>
            <w:r>
              <w:rPr>
                <w:rFonts w:hint="eastAsia"/>
                <w:color w:val="000000" w:themeColor="text1"/>
                <w:sz w:val="20"/>
                <w:szCs w:val="22"/>
                <w:lang w:val="en-US" w:eastAsia="zh-CN"/>
              </w:rPr>
              <w:t>评审的决定和措施项目内容摘要：</w:t>
            </w:r>
          </w:p>
          <w:p>
            <w:pPr>
              <w:ind w:firstLine="400" w:firstLineChars="200"/>
              <w:rPr>
                <w:rFonts w:hint="eastAsia"/>
                <w:color w:val="000000" w:themeColor="text1"/>
                <w:sz w:val="20"/>
                <w:szCs w:val="22"/>
                <w:lang w:val="en-US" w:eastAsia="zh-CN"/>
              </w:rPr>
            </w:pPr>
            <w:r>
              <w:rPr>
                <w:rFonts w:hint="eastAsia"/>
                <w:color w:val="000000" w:themeColor="text1"/>
                <w:sz w:val="20"/>
                <w:szCs w:val="22"/>
                <w:lang w:val="en-US" w:eastAsia="zh-CN"/>
              </w:rPr>
              <w:t>1、加强加强新版标准的学习。</w:t>
            </w:r>
          </w:p>
          <w:p>
            <w:pPr>
              <w:ind w:firstLine="400" w:firstLineChars="200"/>
              <w:rPr>
                <w:rFonts w:hint="eastAsia"/>
                <w:color w:val="000000" w:themeColor="text1"/>
                <w:sz w:val="20"/>
                <w:szCs w:val="22"/>
                <w:lang w:val="en-US" w:eastAsia="zh-CN"/>
              </w:rPr>
            </w:pPr>
            <w:r>
              <w:rPr>
                <w:rFonts w:hint="eastAsia"/>
                <w:color w:val="000000" w:themeColor="text1"/>
                <w:sz w:val="20"/>
                <w:szCs w:val="22"/>
                <w:lang w:val="en-US" w:eastAsia="zh-CN"/>
              </w:rPr>
              <w:t>2、持续推进《能源使用评价表》中识别的能源绩效改进机会。</w:t>
            </w:r>
          </w:p>
        </w:tc>
        <w:tc>
          <w:tcPr>
            <w:tcW w:w="1213" w:type="dxa"/>
          </w:tcPr>
          <w:p>
            <w:pPr>
              <w:rPr>
                <w:color w:val="000000" w:themeColor="text1"/>
              </w:rPr>
            </w:pPr>
          </w:p>
        </w:tc>
      </w:tr>
    </w:tbl>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-36195</wp:posOffset>
          </wp:positionV>
          <wp:extent cx="382270" cy="348615"/>
          <wp:effectExtent l="0" t="0" r="6350" b="1905"/>
          <wp:wrapTight wrapText="bothSides">
            <wp:wrapPolygon>
              <wp:start x="5597" y="0"/>
              <wp:lineTo x="0" y="2833"/>
              <wp:lineTo x="0" y="16997"/>
              <wp:lineTo x="6889" y="21246"/>
              <wp:lineTo x="9472" y="21246"/>
              <wp:lineTo x="14639" y="21246"/>
              <wp:lineTo x="15070" y="21246"/>
              <wp:lineTo x="20237" y="15108"/>
              <wp:lineTo x="21098" y="6610"/>
              <wp:lineTo x="16361" y="944"/>
              <wp:lineTo x="14209" y="0"/>
              <wp:lineTo x="5597"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382270" cy="348615"/>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w:r>
    <w:r>
      <w:rPr>
        <w:rStyle w:val="13"/>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623107"/>
    <w:multiLevelType w:val="singleLevel"/>
    <w:tmpl w:val="E662310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00E2"/>
    <w:rsid w:val="00062E46"/>
    <w:rsid w:val="000E6B21"/>
    <w:rsid w:val="001A2D7F"/>
    <w:rsid w:val="002939AD"/>
    <w:rsid w:val="00314AF6"/>
    <w:rsid w:val="00337922"/>
    <w:rsid w:val="00340867"/>
    <w:rsid w:val="00380837"/>
    <w:rsid w:val="003A198A"/>
    <w:rsid w:val="00410914"/>
    <w:rsid w:val="00536930"/>
    <w:rsid w:val="00564E53"/>
    <w:rsid w:val="005D5659"/>
    <w:rsid w:val="00600C20"/>
    <w:rsid w:val="00644FE2"/>
    <w:rsid w:val="0067640C"/>
    <w:rsid w:val="006E678B"/>
    <w:rsid w:val="007757F3"/>
    <w:rsid w:val="007C1B48"/>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50D2726"/>
    <w:rsid w:val="08422B0C"/>
    <w:rsid w:val="0AFD3115"/>
    <w:rsid w:val="106C6179"/>
    <w:rsid w:val="108219C2"/>
    <w:rsid w:val="13B33BC9"/>
    <w:rsid w:val="16B65069"/>
    <w:rsid w:val="16D974B1"/>
    <w:rsid w:val="18572570"/>
    <w:rsid w:val="1ADD2EA8"/>
    <w:rsid w:val="1B46487E"/>
    <w:rsid w:val="1B881819"/>
    <w:rsid w:val="212345D6"/>
    <w:rsid w:val="25C6426F"/>
    <w:rsid w:val="25D43F74"/>
    <w:rsid w:val="25F6279D"/>
    <w:rsid w:val="260E6499"/>
    <w:rsid w:val="29E318C1"/>
    <w:rsid w:val="2BE71DC5"/>
    <w:rsid w:val="2F912599"/>
    <w:rsid w:val="318604A8"/>
    <w:rsid w:val="32334EAE"/>
    <w:rsid w:val="347A765D"/>
    <w:rsid w:val="34E328F7"/>
    <w:rsid w:val="36742059"/>
    <w:rsid w:val="3B2F152F"/>
    <w:rsid w:val="3BA1699B"/>
    <w:rsid w:val="3D507775"/>
    <w:rsid w:val="3E4F4E3C"/>
    <w:rsid w:val="3EC252BA"/>
    <w:rsid w:val="40E73C0B"/>
    <w:rsid w:val="418C6EA0"/>
    <w:rsid w:val="430458CB"/>
    <w:rsid w:val="43C45188"/>
    <w:rsid w:val="450827B4"/>
    <w:rsid w:val="456613DE"/>
    <w:rsid w:val="4AB51850"/>
    <w:rsid w:val="4B1D16C3"/>
    <w:rsid w:val="4BC14352"/>
    <w:rsid w:val="4E194E12"/>
    <w:rsid w:val="4E377A31"/>
    <w:rsid w:val="4FFD1A67"/>
    <w:rsid w:val="508939BE"/>
    <w:rsid w:val="568C3F73"/>
    <w:rsid w:val="56F0460D"/>
    <w:rsid w:val="5A1D6551"/>
    <w:rsid w:val="5BA21581"/>
    <w:rsid w:val="5BFD0207"/>
    <w:rsid w:val="5CAB44D2"/>
    <w:rsid w:val="5E292A40"/>
    <w:rsid w:val="5EA12B9A"/>
    <w:rsid w:val="5EC27919"/>
    <w:rsid w:val="5F5C13F0"/>
    <w:rsid w:val="60D8693C"/>
    <w:rsid w:val="62F24F2F"/>
    <w:rsid w:val="650A78D6"/>
    <w:rsid w:val="6C1279E0"/>
    <w:rsid w:val="6CAA131E"/>
    <w:rsid w:val="6F765216"/>
    <w:rsid w:val="70FE0D10"/>
    <w:rsid w:val="7147513F"/>
    <w:rsid w:val="7257141B"/>
    <w:rsid w:val="753266BC"/>
    <w:rsid w:val="75F665BA"/>
    <w:rsid w:val="76AF40A0"/>
    <w:rsid w:val="778D1E8E"/>
    <w:rsid w:val="78E67034"/>
    <w:rsid w:val="79807E6E"/>
    <w:rsid w:val="7E155C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华文细黑"/>
      <w:sz w:val="24"/>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table of figures"/>
    <w:basedOn w:val="1"/>
    <w:next w:val="1"/>
    <w:qFormat/>
    <w:uiPriority w:val="0"/>
    <w:pPr>
      <w:ind w:left="200" w:leftChars="200" w:hanging="200" w:hangingChars="200"/>
    </w:p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rFonts w:ascii="Times New Roman" w:hAnsi="Times New Roman" w:eastAsia="宋体" w:cs="Times New Roman"/>
      <w:sz w:val="18"/>
      <w:szCs w:val="18"/>
    </w:rPr>
  </w:style>
  <w:style w:type="character" w:customStyle="1" w:styleId="11">
    <w:name w:val="页脚 字符"/>
    <w:basedOn w:val="9"/>
    <w:link w:val="4"/>
    <w:qFormat/>
    <w:uiPriority w:val="99"/>
    <w:rPr>
      <w:rFonts w:ascii="Times New Roman" w:hAnsi="Times New Roman" w:eastAsia="宋体" w:cs="Times New Roman"/>
      <w:sz w:val="18"/>
      <w:szCs w:val="18"/>
    </w:rPr>
  </w:style>
  <w:style w:type="character" w:customStyle="1" w:styleId="12">
    <w:name w:val="批注框文本 字符"/>
    <w:basedOn w:val="9"/>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22</TotalTime>
  <ScaleCrop>false</ScaleCrop>
  <LinksUpToDate>false</LinksUpToDate>
  <CharactersWithSpaces>147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2021-12-16T01:40:33Z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DE328A8AF59341648C9821279B779E99</vt:lpwstr>
  </property>
</Properties>
</file>