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376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21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过程与活动、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涉及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条款</w:t>
            </w:r>
          </w:p>
        </w:tc>
        <w:tc>
          <w:tcPr>
            <w:tcW w:w="10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受审核部门：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财务部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主管领导：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包苏明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陪同人员：</w:t>
            </w:r>
            <w:r>
              <w:rPr>
                <w:rFonts w:hint="eastAsia" w:cs="Times New Roman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许慧宇</w:t>
            </w:r>
          </w:p>
        </w:tc>
        <w:tc>
          <w:tcPr>
            <w:tcW w:w="1213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default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审核员：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王宁敏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审核时间：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2021-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8:00-11:30</w:t>
            </w:r>
          </w:p>
        </w:tc>
        <w:tc>
          <w:tcPr>
            <w:tcW w:w="1213" w:type="dxa"/>
            <w:vMerge w:val="continue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审核条款：5.3 组织的岗位、职责和权限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6.2 目标、能源指及其实现的策划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8.1 运行的策划和控制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10.1不符合与纠正措施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213" w:type="dxa"/>
            <w:vMerge w:val="continue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2160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组织的岗位、职责和权限</w:t>
            </w:r>
          </w:p>
          <w:p>
            <w:pPr>
              <w:numPr>
                <w:ilvl w:val="0"/>
                <w:numId w:val="0"/>
              </w:numP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2.能源管理目标、指标及实现措施策划适宜性；能源职责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5.3</w:t>
            </w:r>
            <w:r>
              <w:rPr>
                <w:rFonts w:hint="eastAsia" w:ascii="宋体" w:hAnsi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/6.2</w:t>
            </w:r>
          </w:p>
        </w:tc>
        <w:tc>
          <w:tcPr>
            <w:tcW w:w="10376" w:type="dxa"/>
          </w:tcPr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一、.财务部：领导 包苏明，共2人，财务岗位职责： 1进行本部门的日常管理，做好会计核算和财务预算。2负责会计制证和帐务处理，编制会计报表。3审核各项费用支出，执行财务预算。4检查银行、库存现金、资金账目，发现问题监督改正调账，并负责往来账的清理。5登记账簿，妥善保管会计凭证、账簿、会计报表和其他档案资料，以及会计电算化的系统维护。完成上级交办的其他工作。。</w:t>
            </w:r>
          </w:p>
          <w:p>
            <w:pPr>
              <w:ind w:firstLine="42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二、.提供财务部能源管理目标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保证公司二个目标指标的完成（2021年目标：橡胶件单位产品能耗≦1.60kgce/kg；TPV件单位产品能耗≦1.61kgce/kg）。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查阅2020年度以及2021年1-8月相关考核记录，财务部基本完成目标指标，财务管理全部完成</w:t>
            </w:r>
            <w:bookmarkStart w:id="0" w:name="_GoBack"/>
            <w:bookmarkEnd w:id="0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pStyle w:val="2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 w:cs="Times New Roman"/>
                <w:b/>
                <w:color w:val="FF0000"/>
                <w:szCs w:val="21"/>
                <w:lang w:val="en-US" w:eastAsia="zh-CN"/>
              </w:rPr>
              <w:t>查财务部的能源目标指标的分解，未能提供较明晰的本部门能源目标指标的分解。问题</w:t>
            </w:r>
          </w:p>
        </w:tc>
        <w:tc>
          <w:tcPr>
            <w:tcW w:w="1213" w:type="dxa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numPr>
                <w:ilvl w:val="0"/>
                <w:numId w:val="1"/>
              </w:numP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运行的策划和控制、能源资金的策划与控制；</w:t>
            </w:r>
          </w:p>
          <w:p>
            <w:pPr>
              <w:numPr>
                <w:ilvl w:val="0"/>
                <w:numId w:val="0"/>
              </w:num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4.不符合与纠正措施。</w:t>
            </w:r>
          </w:p>
        </w:tc>
        <w:tc>
          <w:tcPr>
            <w:tcW w:w="960" w:type="dxa"/>
          </w:tcPr>
          <w:p>
            <w:pP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8.1/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10.1</w:t>
            </w:r>
          </w:p>
        </w:tc>
        <w:tc>
          <w:tcPr>
            <w:tcW w:w="10376" w:type="dxa"/>
          </w:tcPr>
          <w:p>
            <w:pPr>
              <w:pStyle w:val="2"/>
              <w:ind w:left="0" w:leftChars="0" w:firstLine="420" w:firstLineChars="200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</w:t>
            </w:r>
            <w: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制度清单：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《RTY/NY CG-04-2021公司节约用电管理制度》《RTY/NY CG-05-2021公司节约用水管理制度》《RTY/NY CG-06-2021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公司能源计量管理制度》《RTY/NY CG-07-2021公司能源统计管理制度》《RTY/NY CG-08-2021公司能源消耗定额管理制度》《RTY/NY CG-10-2021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公司能源审计制度》《财务管理制度》。</w:t>
            </w:r>
          </w:p>
          <w:p>
            <w:pPr>
              <w:pStyle w:val="2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近年来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能源消费</w:t>
            </w:r>
            <w: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情况：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提供《能源消费统计表》。</w:t>
            </w:r>
            <w: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center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47790" cy="1115695"/>
                  <wp:effectExtent l="0" t="0" r="6350" b="444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9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抽查部分能源消费发票：</w:t>
            </w:r>
          </w:p>
          <w:p>
            <w:pPr>
              <w:jc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73375" cy="1684655"/>
                  <wp:effectExtent l="0" t="0" r="6985" b="698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048000" cy="1756410"/>
                  <wp:effectExtent l="0" t="0" r="0" b="3810"/>
                  <wp:docPr id="5" name="图片 5" descr="50ef04dddefebf68dca3b802705c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0ef04dddefebf68dca3b802705c0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83535" cy="1741170"/>
                  <wp:effectExtent l="0" t="0" r="4445" b="381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59100" cy="1711325"/>
                  <wp:effectExtent l="0" t="0" r="5080" b="317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目前在能源方面的财务管理没有发生不符合。资金全部到位。</w:t>
            </w:r>
          </w:p>
        </w:tc>
        <w:tc>
          <w:tcPr>
            <w:tcW w:w="1213" w:type="dxa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pict>
        <v:shape id="文本框 1" o:spid="_x0000_s4097" o:spt="202" type="#_x0000_t202" style="position:absolute;left:0pt;margin-left:552.3pt;margin-top:8.1pt;height:22.55pt;width:172pt;z-index:251661312;mso-width-relative:page;mso-height-relative:page;" fillcolor="#FFFFFF" filled="t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on="t" color2="#FFFFFF" focussize="0,0"/>
          <v:stroke on="f"/>
          <v:imagedata o:title=""/>
          <o:lock v:ext="edit" aspectratio="f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</w:t>
                </w:r>
                <w:r>
                  <w:rPr>
                    <w:sz w:val="18"/>
                    <w:szCs w:val="18"/>
                  </w:rPr>
                  <w:t>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-36195</wp:posOffset>
          </wp:positionV>
          <wp:extent cx="365760" cy="325120"/>
          <wp:effectExtent l="0" t="0" r="0" b="17780"/>
          <wp:wrapTight wrapText="bothSides">
            <wp:wrapPolygon>
              <wp:start x="5850" y="0"/>
              <wp:lineTo x="0" y="3038"/>
              <wp:lineTo x="0" y="14175"/>
              <wp:lineTo x="450" y="17719"/>
              <wp:lineTo x="6750" y="21263"/>
              <wp:lineTo x="9450" y="21263"/>
              <wp:lineTo x="14400" y="21263"/>
              <wp:lineTo x="14850" y="21263"/>
              <wp:lineTo x="19800" y="16200"/>
              <wp:lineTo x="21150" y="9619"/>
              <wp:lineTo x="21150" y="6581"/>
              <wp:lineTo x="16650" y="1013"/>
              <wp:lineTo x="14400" y="0"/>
              <wp:lineTo x="5850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" cy="325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6"/>
      <w:pBdr>
        <w:bottom w:val="none" w:color="auto" w:sz="0" w:space="1"/>
      </w:pBdr>
      <w:spacing w:line="320" w:lineRule="exact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FEDD19"/>
    <w:multiLevelType w:val="singleLevel"/>
    <w:tmpl w:val="87FEDD1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A6A04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A566053"/>
    <w:rsid w:val="0B861E46"/>
    <w:rsid w:val="0D4B7644"/>
    <w:rsid w:val="0DC64B5B"/>
    <w:rsid w:val="108219C2"/>
    <w:rsid w:val="10D13291"/>
    <w:rsid w:val="129F789F"/>
    <w:rsid w:val="132C1065"/>
    <w:rsid w:val="164B2EDE"/>
    <w:rsid w:val="19710579"/>
    <w:rsid w:val="1E3E2E2E"/>
    <w:rsid w:val="25892989"/>
    <w:rsid w:val="2CA144B6"/>
    <w:rsid w:val="2ED812C3"/>
    <w:rsid w:val="31A03B47"/>
    <w:rsid w:val="39BE4980"/>
    <w:rsid w:val="3A3005C1"/>
    <w:rsid w:val="3F04002E"/>
    <w:rsid w:val="43FD6AD0"/>
    <w:rsid w:val="44926E98"/>
    <w:rsid w:val="462B76C6"/>
    <w:rsid w:val="483A6B43"/>
    <w:rsid w:val="4C694265"/>
    <w:rsid w:val="50A72012"/>
    <w:rsid w:val="51BE0628"/>
    <w:rsid w:val="53DB69BC"/>
    <w:rsid w:val="5BFD0207"/>
    <w:rsid w:val="5CF97978"/>
    <w:rsid w:val="5E781451"/>
    <w:rsid w:val="5EA12B9A"/>
    <w:rsid w:val="679F2C77"/>
    <w:rsid w:val="68E62994"/>
    <w:rsid w:val="693A54C3"/>
    <w:rsid w:val="69A907B2"/>
    <w:rsid w:val="6B3F1559"/>
    <w:rsid w:val="6BDC3E6A"/>
    <w:rsid w:val="6DE4169C"/>
    <w:rsid w:val="6EFB611E"/>
    <w:rsid w:val="72AD40DE"/>
    <w:rsid w:val="74845FB6"/>
    <w:rsid w:val="74890669"/>
    <w:rsid w:val="75D471CF"/>
    <w:rsid w:val="76D842C7"/>
    <w:rsid w:val="7A380BFF"/>
    <w:rsid w:val="7C0F6081"/>
    <w:rsid w:val="7C4B0F1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kern w:val="0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font0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5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3</TotalTime>
  <ScaleCrop>false</ScaleCrop>
  <LinksUpToDate>false</LinksUpToDate>
  <CharactersWithSpaces>147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王宁敏</cp:lastModifiedBy>
  <dcterms:modified xsi:type="dcterms:W3CDTF">2021-12-11T03:16:04Z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