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1256-2021-EnMs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江苏润泰银科技股份有限公司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 xml:space="preserve">2021年12月08日 </w:t>
            </w:r>
            <w:r>
              <w:rPr>
                <w:rFonts w:hint="eastAsia" w:ascii="宋体"/>
                <w:b/>
                <w:color w:val="000000"/>
                <w:szCs w:val="21"/>
                <w:lang w:val="en-US" w:eastAsia="zh-CN"/>
              </w:rPr>
              <w:t>下</w:t>
            </w:r>
            <w:r>
              <w:rPr>
                <w:rFonts w:hint="eastAsia" w:ascii="宋体"/>
                <w:b/>
                <w:color w:val="000000"/>
                <w:szCs w:val="21"/>
              </w:rPr>
              <w:t>午至2021年12月0</w:t>
            </w:r>
            <w:r>
              <w:rPr>
                <w:rFonts w:hint="eastAsia" w:ascii="宋体"/>
                <w:b/>
                <w:color w:val="000000"/>
                <w:szCs w:val="21"/>
                <w:lang w:val="en-US" w:eastAsia="zh-CN"/>
              </w:rPr>
              <w:t>9</w:t>
            </w:r>
            <w:r>
              <w:rPr>
                <w:rFonts w:hint="eastAsia" w:ascii="宋体"/>
                <w:b/>
                <w:color w:val="000000"/>
                <w:szCs w:val="21"/>
              </w:rPr>
              <w:t xml:space="preserve">日 </w:t>
            </w:r>
            <w:r>
              <w:rPr>
                <w:rFonts w:hint="eastAsia" w:ascii="宋体"/>
                <w:b/>
                <w:color w:val="000000"/>
                <w:szCs w:val="21"/>
                <w:lang w:val="en-US" w:eastAsia="zh-CN"/>
              </w:rPr>
              <w:t>上</w:t>
            </w:r>
            <w:r>
              <w:rPr>
                <w:rFonts w:hint="eastAsia" w:ascii="宋体"/>
                <w:b/>
                <w:color w:val="000000"/>
                <w:szCs w:val="21"/>
              </w:rPr>
              <w:t>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93"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eastAsia="宋体"/>
                <w:b/>
                <w:color w:val="000000"/>
                <w:szCs w:val="21"/>
                <w:lang w:val="de-DE" w:eastAsia="zh-CN"/>
              </w:rPr>
            </w:pPr>
            <w:r>
              <w:rPr>
                <w:rFonts w:hint="eastAsia" w:ascii="宋体" w:hAnsi="宋体"/>
                <w:b/>
                <w:color w:val="000000"/>
                <w:szCs w:val="21"/>
                <w:lang w:val="de-DE" w:eastAsia="zh-CN"/>
              </w:rPr>
              <w:t>☑</w:t>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方正仿宋简体" w:eastAsia="方正仿宋简体"/>
                <w:b/>
              </w:rPr>
              <w:t>RB∕T114-2014《能源管理体系 纯碱、焦化、橡塑制品、制药等化工企业认证要求》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rFonts w:hint="eastAsia" w:cs="Arial"/>
                <w:b/>
                <w:bCs/>
                <w:color w:val="0000FF"/>
                <w:szCs w:val="21"/>
              </w:rPr>
              <w:t>江苏省泗阳经济开发区桂林路北侧</w:t>
            </w:r>
            <w:r>
              <w:rPr>
                <w:rFonts w:hint="eastAsia" w:cs="Arial"/>
                <w:b/>
                <w:bCs/>
                <w:color w:val="0000FF"/>
                <w:szCs w:val="21"/>
                <w:lang w:eastAsia="zh-CN"/>
              </w:rPr>
              <w:t>（</w:t>
            </w:r>
            <w:r>
              <w:rPr>
                <w:rFonts w:hint="eastAsia" w:cs="Arial"/>
                <w:b/>
                <w:bCs/>
                <w:color w:val="0000FF"/>
                <w:szCs w:val="21"/>
                <w:lang w:val="en-US" w:eastAsia="zh-CN"/>
              </w:rPr>
              <w:t>远程：北京市</w:t>
            </w:r>
            <w:r>
              <w:rPr>
                <w:rFonts w:hint="eastAsia" w:cs="Arial"/>
                <w:b/>
                <w:bCs/>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江苏润泰银科技股份有限公司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泗阳经济开发区桂林路北侧</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223799</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江苏省泗阳经济开发区桂林路北侧</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223799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许慧宇</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13861677390</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陈燕红</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许慧宇</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橡胶、塑料）密封条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塑料密封件工艺流程图</w:t>
            </w:r>
            <w:r>
              <w:rPr>
                <w:rFonts w:hint="eastAsia" w:asciiTheme="minorEastAsia" w:hAnsiTheme="minorEastAsia" w:cstheme="minorEastAsia"/>
                <w:color w:val="000000"/>
                <w:kern w:val="0"/>
                <w:sz w:val="28"/>
                <w:szCs w:val="28"/>
                <w:lang w:val="en-US" w:eastAsia="zh-CN"/>
              </w:rPr>
              <w:t>：</w:t>
            </w:r>
          </w:p>
          <w:p>
            <w:pPr>
              <w:tabs>
                <w:tab w:val="left" w:pos="360"/>
              </w:tabs>
              <w:ind w:left="360" w:hanging="360"/>
              <w:rPr>
                <w:rFonts w:ascii="Times New Roman" w:hAnsi="Times New Roman" w:eastAsia="宋体" w:cs="Times New Roman"/>
              </w:rPr>
            </w:pPr>
            <w:r>
              <w:rPr>
                <w:rFonts w:hint="eastAsia" w:ascii="Times New Roman" w:hAnsi="Times New Roman" w:eastAsia="宋体" w:cs="Times New Roman"/>
                <w:lang w:val="en-US" w:eastAsia="zh-CN"/>
              </w:rPr>
              <w:t>TPV粒料-成 型-修边、组立-实验-成品入库</w:t>
            </w:r>
          </w:p>
          <w:p>
            <w:pPr>
              <w:tabs>
                <w:tab w:val="left" w:pos="360"/>
              </w:tabs>
              <w:rPr>
                <w:rFonts w:ascii="Times New Roman" w:hAnsi="Times New Roman" w:eastAsia="宋体" w:cs="Times New Roman"/>
              </w:rPr>
            </w:pPr>
          </w:p>
          <w:p>
            <w:pPr>
              <w:tabs>
                <w:tab w:val="left" w:pos="360"/>
              </w:tabs>
              <w:ind w:left="360" w:hanging="360"/>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橡胶密封件（垫圈）工艺流程图</w:t>
            </w:r>
            <w:r>
              <w:rPr>
                <w:rFonts w:hint="eastAsia" w:ascii="Times New Roman" w:hAnsi="Times New Roman" w:eastAsia="宋体" w:cs="Times New Roman"/>
                <w:lang w:val="en-US" w:eastAsia="zh-CN"/>
              </w:rPr>
              <w:t xml:space="preserve">：                                </w:t>
            </w:r>
          </w:p>
          <w:p>
            <w:pPr>
              <w:tabs>
                <w:tab w:val="left" w:pos="360"/>
              </w:tabs>
              <w:ind w:left="360" w:hanging="360"/>
              <w:rPr>
                <w:rFonts w:ascii="Times New Roman" w:hAnsi="Times New Roman" w:eastAsia="宋体" w:cs="Times New Roman"/>
              </w:rPr>
            </w:pPr>
            <w:r>
              <w:rPr>
                <w:rFonts w:hint="eastAsia" w:ascii="Times New Roman" w:hAnsi="Times New Roman" w:eastAsia="宋体" w:cs="Times New Roman"/>
                <w:lang w:val="en-US" w:eastAsia="zh-CN"/>
              </w:rPr>
              <w:t>EPDM原料-混炼-压片-成型-修边、组立-实验-密封件入库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val="en-US" w:eastAsia="zh-CN"/>
              </w:rPr>
            </w:pPr>
            <w:bookmarkStart w:id="32" w:name="审核范围"/>
            <w:r>
              <w:rPr>
                <w:rFonts w:hint="eastAsia" w:ascii="宋体" w:hAnsi="宋体" w:cs="宋体"/>
                <w:color w:val="000000"/>
                <w:kern w:val="0"/>
                <w:szCs w:val="21"/>
              </w:rPr>
              <w:t>适用于公司汽车配件（橡胶、塑料）密封条制造的能源管理</w:t>
            </w:r>
            <w:bookmarkEnd w:id="32"/>
          </w:p>
        </w:tc>
        <w:tc>
          <w:tcPr>
            <w:tcW w:w="2006" w:type="dxa"/>
            <w:gridSpan w:val="3"/>
            <w:vAlign w:val="center"/>
          </w:tcPr>
          <w:p>
            <w:pPr>
              <w:spacing w:line="400" w:lineRule="exact"/>
              <w:rPr>
                <w:rFonts w:ascii="宋体" w:hAnsi="宋体"/>
                <w:b/>
                <w:color w:val="000000"/>
                <w:szCs w:val="21"/>
              </w:rPr>
            </w:pPr>
            <w:r>
              <w:rPr>
                <w:b/>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bookmarkStart w:id="34" w:name="_GoBack"/>
            <w:bookmarkEnd w:id="34"/>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pStyle w:val="19"/>
              <w:rPr>
                <w:rFonts w:hint="eastAsia" w:ascii="Times New Roman" w:hAnsi="Times New Roman" w:eastAsia="Times New Roman" w:cs="Times New Roman"/>
                <w:lang w:val="en-US" w:eastAsia="zh-CN"/>
              </w:rPr>
            </w:pPr>
            <w:r>
              <w:rPr>
                <w:rFonts w:ascii="Times New Roman" w:hAnsi="Times New Roman" w:eastAsia="Times New Roman" w:cs="Times New Roman"/>
              </w:rPr>
              <w:t>江苏润泰银科技股份有限公司</w:t>
            </w:r>
            <w:r>
              <w:rPr>
                <w:rFonts w:hint="eastAsia" w:ascii="Times New Roman" w:hAnsi="Times New Roman" w:eastAsia="Times New Roman" w:cs="Times New Roman"/>
                <w:lang w:val="en-US" w:eastAsia="zh-CN"/>
              </w:rPr>
              <w:t>/</w:t>
            </w:r>
            <w:r>
              <w:rPr>
                <w:rFonts w:ascii="Times New Roman" w:hAnsi="Times New Roman" w:eastAsia="Times New Roman" w:cs="Times New Roman"/>
              </w:rPr>
              <w:t>泗阳经济开发区桂林路北侧</w:t>
            </w:r>
          </w:p>
        </w:tc>
        <w:tc>
          <w:tcPr>
            <w:tcW w:w="2267" w:type="dxa"/>
          </w:tcPr>
          <w:p>
            <w:pPr>
              <w:pStyle w:val="19"/>
              <w:rPr>
                <w:rFonts w:ascii="Times New Roman" w:hAnsi="Times New Roman" w:eastAsia="Times New Roman" w:cs="Times New Roman"/>
                <w:lang w:val="de-DE" w:eastAsia="ja-JP"/>
              </w:rPr>
            </w:pPr>
            <w:r>
              <w:rPr>
                <w:rFonts w:ascii="Times New Roman" w:hAnsi="Times New Roman" w:eastAsia="Times New Roman" w:cs="Times New Roman"/>
              </w:rPr>
              <w:t>泗阳经济开发区桂林路北侧</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92</w:t>
            </w:r>
          </w:p>
        </w:tc>
        <w:tc>
          <w:tcPr>
            <w:tcW w:w="2803" w:type="dxa"/>
            <w:vAlign w:val="center"/>
          </w:tcPr>
          <w:p>
            <w:pPr>
              <w:pStyle w:val="19"/>
              <w:rPr>
                <w:rFonts w:hint="eastAsia" w:eastAsia="宋体" w:cs="Arial"/>
                <w:sz w:val="21"/>
                <w:szCs w:val="21"/>
                <w:lang w:val="en-US" w:eastAsia="zh-CN"/>
              </w:rPr>
            </w:pPr>
            <w:r>
              <w:t>适用于汽车配件（橡胶、塑料）密封条制造的能源管理</w:t>
            </w:r>
            <w:r>
              <w:rPr>
                <w:rFonts w:hint="eastAsia" w:eastAsia="宋体"/>
                <w:lang w:val="en-US" w:eastAsia="zh-CN"/>
              </w:rPr>
              <w:t>活动</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年9月20日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2021-12-</w:t>
            </w:r>
            <w:bookmarkEnd w:id="33"/>
            <w:r>
              <w:rPr>
                <w:rFonts w:hint="eastAsia" w:ascii="宋体"/>
                <w:b/>
                <w:color w:val="000000"/>
                <w:szCs w:val="21"/>
                <w:lang w:val="en-US" w:eastAsia="zh-CN"/>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242" w:type="dxa"/>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242" w:type="dxa"/>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242"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442" w:type="dxa"/>
            <w:gridSpan w:val="2"/>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442"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r>
              <w:t>适用于汽车配件（橡胶、塑料）密封条制造的能源管理</w:t>
            </w:r>
            <w:r>
              <w:rPr>
                <w:rFonts w:hint="eastAsia" w:eastAsia="宋体"/>
                <w:lang w:val="en-US" w:eastAsia="zh-CN"/>
              </w:rPr>
              <w:t>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2336" behindDoc="1" locked="0" layoutInCell="1" allowOverlap="1">
            <wp:simplePos x="0" y="0"/>
            <wp:positionH relativeFrom="column">
              <wp:posOffset>1897380</wp:posOffset>
            </wp:positionH>
            <wp:positionV relativeFrom="paragraph">
              <wp:posOffset>168910</wp:posOffset>
            </wp:positionV>
            <wp:extent cx="722630" cy="504190"/>
            <wp:effectExtent l="0" t="0" r="1270" b="3810"/>
            <wp:wrapTight wrapText="bothSides">
              <wp:wrapPolygon>
                <wp:start x="0" y="0"/>
                <wp:lineTo x="0" y="21219"/>
                <wp:lineTo x="21258" y="21219"/>
                <wp:lineTo x="212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lum contrast="84000"/>
                    </a:blip>
                    <a:stretch>
                      <a:fillRect/>
                    </a:stretch>
                  </pic:blipFill>
                  <pic:spPr>
                    <a:xfrm>
                      <a:off x="2506980" y="5412105"/>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4149090</wp:posOffset>
            </wp:positionH>
            <wp:positionV relativeFrom="paragraph">
              <wp:posOffset>-177800</wp:posOffset>
            </wp:positionV>
            <wp:extent cx="529590" cy="368935"/>
            <wp:effectExtent l="0" t="0" r="3810" b="12065"/>
            <wp:wrapSquare wrapText="bothSides"/>
            <wp:docPr id="2" name="图片 1" descr="e62a8817cb6ebb9f0cc132070a58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62a8817cb6ebb9f0cc132070a58c15"/>
                    <pic:cNvPicPr>
                      <a:picLocks noChangeAspect="1"/>
                    </pic:cNvPicPr>
                  </pic:nvPicPr>
                  <pic:blipFill>
                    <a:blip r:embed="rId7"/>
                    <a:stretch>
                      <a:fillRect/>
                    </a:stretch>
                  </pic:blipFill>
                  <pic:spPr>
                    <a:xfrm>
                      <a:off x="0" y="0"/>
                      <a:ext cx="529590" cy="368935"/>
                    </a:xfrm>
                    <a:prstGeom prst="rect">
                      <a:avLst/>
                    </a:prstGeom>
                    <a:noFill/>
                    <a:ln>
                      <a:noFill/>
                    </a:ln>
                  </pic:spPr>
                </pic:pic>
              </a:graphicData>
            </a:graphic>
          </wp:anchor>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2021.12.9</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手册中部门职责与实际稍有差别</w:t>
            </w:r>
          </w:p>
        </w:tc>
        <w:tc>
          <w:tcPr>
            <w:tcW w:w="922" w:type="dxa"/>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GB/T</w:t>
            </w:r>
            <w:r>
              <w:rPr>
                <w:rFonts w:hint="eastAsia" w:eastAsia="宋体"/>
                <w:color w:val="000000"/>
                <w:sz w:val="21"/>
                <w:szCs w:val="21"/>
                <w:lang w:val="en-US" w:eastAsia="zh-CN"/>
              </w:rPr>
              <w:br w:type="textWrapping"/>
            </w:r>
            <w:r>
              <w:rPr>
                <w:rFonts w:hint="eastAsia" w:eastAsia="宋体"/>
                <w:color w:val="000000"/>
                <w:sz w:val="21"/>
                <w:szCs w:val="21"/>
                <w:lang w:val="en-US" w:eastAsia="zh-CN"/>
              </w:rPr>
              <w:t>23331-2020</w:t>
            </w:r>
          </w:p>
        </w:tc>
        <w:tc>
          <w:tcPr>
            <w:tcW w:w="1133" w:type="dxa"/>
            <w:vAlign w:val="center"/>
          </w:tcPr>
          <w:p>
            <w:pPr>
              <w:pStyle w:val="6"/>
              <w:pBdr>
                <w:bottom w:val="none" w:color="auto" w:sz="0" w:space="0"/>
              </w:pBdr>
              <w:ind w:right="600"/>
              <w:jc w:val="both"/>
              <w:rPr>
                <w:color w:val="000000"/>
                <w:sz w:val="21"/>
                <w:szCs w:val="21"/>
              </w:rPr>
            </w:pPr>
            <w:r>
              <w:rPr>
                <w:rFonts w:hint="eastAsia" w:eastAsia="宋体"/>
                <w:color w:val="000000"/>
                <w:sz w:val="21"/>
                <w:szCs w:val="21"/>
                <w:lang w:val="en-US" w:eastAsia="zh-CN"/>
              </w:rPr>
              <w:t>5.3</w:t>
            </w: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b/>
                <w:bCs/>
                <w:color w:val="FF0000"/>
                <w:szCs w:val="18"/>
              </w:rPr>
              <w:t>1、在“能源管理手册发布令”、“管理者代表任命书”、“2  引用标准”、“3  术语和定义”等段落缺少标准“RB∕T 114-2014能源管理体系 纯碱、焦化、橡塑制品、制药等化工企业认证要求”的加入描述。</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周涛</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徐慧宁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周涛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456FE4"/>
    <w:rsid w:val="0CAF40AC"/>
    <w:rsid w:val="131D69A8"/>
    <w:rsid w:val="47583E80"/>
    <w:rsid w:val="522F3E95"/>
    <w:rsid w:val="78C64F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2021-12-15T11:55:58Z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