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90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条款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受审核部门：</w:t>
            </w:r>
            <w:bookmarkStart w:id="0" w:name="组织名称"/>
            <w:r>
              <w:rPr>
                <w:color w:val="000000" w:themeColor="text1"/>
                <w:sz w:val="21"/>
                <w:szCs w:val="21"/>
              </w:rPr>
              <w:t>江苏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润泰银科技股份</w:t>
            </w:r>
            <w:r>
              <w:rPr>
                <w:color w:val="000000" w:themeColor="text1"/>
                <w:sz w:val="21"/>
                <w:szCs w:val="21"/>
              </w:rPr>
              <w:t>有限公司</w:t>
            </w:r>
            <w:bookmarkEnd w:id="0"/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总经理：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杨从兵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 陪同人员：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许慧宇</w:t>
            </w:r>
          </w:p>
        </w:tc>
        <w:tc>
          <w:tcPr>
            <w:tcW w:w="682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周涛、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王宁敏</w:t>
            </w:r>
            <w:bookmarkEnd w:id="1"/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   审核时间：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2021年12月08日 下午至2021年12月09日 上午，共1.0天。</w:t>
            </w:r>
          </w:p>
        </w:tc>
        <w:tc>
          <w:tcPr>
            <w:tcW w:w="682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default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682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合同基本信息确认: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12月8日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13:30-15:30）</w:t>
            </w:r>
          </w:p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4.1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《营业执照》</w:t>
            </w:r>
            <w:r>
              <w:rPr>
                <w:rFonts w:hint="eastAsia"/>
                <w:color w:val="000000" w:themeColor="text1"/>
                <w:szCs w:val="21"/>
              </w:rPr>
              <w:t>——：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正本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 xml:space="preserve">副本；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原件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Cs w:val="21"/>
              </w:rPr>
              <w:t>编号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91321323MA1MB41X6X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 xml:space="preserve">；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有效期：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2015.7.30至长期</w:t>
            </w:r>
            <w:r>
              <w:rPr>
                <w:color w:val="000000" w:themeColor="text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相关描述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 xml:space="preserve">汽车专业领域内技术研发、技术咨询；汽车配件、铁路机车车辆配件制造、销售；自营和代理各类商品及技术的进出口业务（国家限定企业经营或禁止进出口的商品和技术除外）。（依法须经批准的项目，经相关部门批准后方可开展经营活动）。     </w:t>
            </w:r>
          </w:p>
          <w:p>
            <w:pPr>
              <w:spacing w:line="440" w:lineRule="exact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一般项目：橡胶制品制造；橡胶制品销售；塑料制品制造；塑料制品销售；轻质建筑材料制造；轻质建筑材料销售；新型建筑材料制造（不含危险化学品）；建筑材料销售；建筑防水卷材产品制造；建筑防水卷材产品销售（除依法须经批准的项目外，凭营业执照依法自主开展经营活动）。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认证申请范围：</w:t>
            </w:r>
            <w:bookmarkStart w:id="2" w:name="审核范围"/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适用于公司汽车配件（橡胶、塑料）密封条制造的能源</w:t>
            </w:r>
            <w:r>
              <w:rPr>
                <w:rFonts w:hint="eastAsia" w:eastAsia="宋体"/>
                <w:color w:val="000000" w:themeColor="text1"/>
                <w:lang w:val="en-US" w:eastAsia="zh-CN"/>
              </w:rPr>
              <w:t>管理</w:t>
            </w:r>
            <w:bookmarkEnd w:id="2"/>
            <w:r>
              <w:rPr>
                <w:rFonts w:hint="eastAsia"/>
                <w:color w:val="000000" w:themeColor="text1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 变更后范围:</w:t>
            </w:r>
            <w:r>
              <w:rPr>
                <w:rFonts w:ascii="Times New Roman" w:hAnsi="Times New Roman" w:eastAsia="宋体" w:cs="Times New Roman"/>
                <w:color w:val="0000FF"/>
                <w:u w:val="single"/>
              </w:rPr>
              <w:t>适用于汽车配件（橡胶、塑料）密封条制造的能源管理活动</w:t>
            </w:r>
            <w:r>
              <w:rPr>
                <w:rFonts w:hint="eastAsia" w:ascii="Times New Roman" w:hAnsi="Times New Roman" w:eastAsia="宋体" w:cs="Times New Roman"/>
                <w:color w:val="0000FF"/>
                <w:u w:val="single"/>
                <w:lang w:eastAsia="zh-CN"/>
              </w:rPr>
              <w:t>；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证件有效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证件失效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范围合规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4.1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《XXX许可证》</w:t>
            </w:r>
            <w:r>
              <w:rPr>
                <w:rFonts w:hint="eastAsia"/>
                <w:color w:val="000000" w:themeColor="text1"/>
                <w:szCs w:val="21"/>
              </w:rPr>
              <w:t>——：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正本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 xml:space="preserve">□副本；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原件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编号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：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；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有效期：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 w:themeColor="text1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相关描述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证件有效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证件失效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>范围合规</w:t>
            </w:r>
          </w:p>
          <w:p>
            <w:pPr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确定审核范围的合理性（地址、产品/服务）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注册地址：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泗阳经济开发区桂林路北侧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与《营业执照》内容一致。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经营地址：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江苏省泗阳经济开发区桂林路北侧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注册地址与生产或服务现场</w:t>
            </w:r>
            <w:r>
              <w:rPr>
                <w:rFonts w:hint="eastAsia"/>
                <w:color w:val="000000" w:themeColor="text1"/>
                <w:lang w:val="en-US" w:eastAsia="zh-CN"/>
              </w:rPr>
              <w:t>其中之一</w:t>
            </w:r>
            <w:r>
              <w:rPr>
                <w:rFonts w:hint="eastAsia"/>
                <w:color w:val="000000" w:themeColor="text1"/>
              </w:rPr>
              <w:t>一致</w:t>
            </w:r>
            <w:r>
              <w:rPr>
                <w:rFonts w:hint="eastAsia"/>
                <w:color w:val="000000" w:themeColor="text1"/>
                <w:lang w:eastAsia="zh-CN"/>
              </w:rPr>
              <w:t>。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多现场的名称和具体位置：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无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多场所申报清单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临时现场的名称和具体位置：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无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企业在建项目清单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7.1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认证范围内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能源</w:t>
            </w:r>
            <w:r>
              <w:rPr>
                <w:rFonts w:hint="eastAsia"/>
                <w:color w:val="000000" w:themeColor="text1"/>
                <w:szCs w:val="21"/>
              </w:rPr>
              <w:t>管理体系覆盖的人数（总计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92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总人数：92</w:t>
            </w:r>
            <w:r>
              <w:rPr>
                <w:rFonts w:hint="eastAsia"/>
                <w:color w:val="000000" w:themeColor="text1"/>
                <w:szCs w:val="21"/>
              </w:rPr>
              <w:t>）　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>管理人员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56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18"/>
              </w:rPr>
              <w:t>；操作人员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 xml:space="preserve"> 16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18"/>
              </w:rPr>
              <w:t>；劳务派遣人员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18"/>
              </w:rPr>
              <w:t>；临时工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18"/>
              </w:rPr>
              <w:t>；</w:t>
            </w:r>
            <w:r>
              <w:rPr>
                <w:rFonts w:hint="eastAsia"/>
                <w:color w:val="000000" w:themeColor="text1"/>
                <w:szCs w:val="21"/>
              </w:rPr>
              <w:t>季节工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18"/>
              </w:rPr>
              <w:t>；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与申请一致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生产/服务的班次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4.4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单班（例如：</w:t>
            </w:r>
            <w:r>
              <w:rPr>
                <w:color w:val="000000" w:themeColor="text1"/>
                <w:szCs w:val="21"/>
              </w:rPr>
              <w:t>8:00- 12 :00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  <w:r>
              <w:rPr>
                <w:color w:val="000000" w:themeColor="text1"/>
                <w:szCs w:val="21"/>
              </w:rPr>
              <w:t>13 :00- 17 :00</w:t>
            </w:r>
            <w:r>
              <w:rPr>
                <w:rFonts w:hint="eastAsia"/>
                <w:color w:val="000000" w:themeColor="text1"/>
                <w:szCs w:val="21"/>
              </w:rPr>
              <w:t>；）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与认知申请稍有差池。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□双班（例如：早班</w:t>
            </w:r>
            <w:r>
              <w:rPr>
                <w:color w:val="000000" w:themeColor="text1"/>
                <w:szCs w:val="21"/>
              </w:rPr>
              <w:t>8:00- 16 :00</w:t>
            </w:r>
            <w:r>
              <w:rPr>
                <w:rFonts w:hint="eastAsia"/>
                <w:color w:val="000000" w:themeColor="text1"/>
                <w:szCs w:val="21"/>
              </w:rPr>
              <w:t>；晚班</w:t>
            </w:r>
            <w:r>
              <w:rPr>
                <w:color w:val="000000" w:themeColor="text1"/>
                <w:szCs w:val="21"/>
              </w:rPr>
              <w:t>16 :00- 24 :00</w:t>
            </w:r>
            <w:r>
              <w:rPr>
                <w:rFonts w:hint="eastAsia"/>
                <w:color w:val="000000" w:themeColor="text1"/>
                <w:szCs w:val="21"/>
              </w:rPr>
              <w:t>；）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□三班（例如：早班</w:t>
            </w:r>
            <w:r>
              <w:rPr>
                <w:color w:val="000000" w:themeColor="text1"/>
                <w:szCs w:val="21"/>
              </w:rPr>
              <w:t>8:00- 16 :00</w:t>
            </w:r>
            <w:r>
              <w:rPr>
                <w:rFonts w:hint="eastAsia"/>
                <w:color w:val="000000" w:themeColor="text1"/>
                <w:szCs w:val="21"/>
              </w:rPr>
              <w:t>；晚班</w:t>
            </w:r>
            <w:r>
              <w:rPr>
                <w:color w:val="000000" w:themeColor="text1"/>
                <w:szCs w:val="21"/>
              </w:rPr>
              <w:t>16 :00- 24 :00</w:t>
            </w:r>
            <w:r>
              <w:rPr>
                <w:rFonts w:hint="eastAsia"/>
                <w:color w:val="000000" w:themeColor="text1"/>
                <w:szCs w:val="21"/>
              </w:rPr>
              <w:t>；夜班</w:t>
            </w:r>
            <w:r>
              <w:rPr>
                <w:color w:val="000000" w:themeColor="text1"/>
                <w:szCs w:val="21"/>
              </w:rPr>
              <w:t>24 :00-</w:t>
            </w:r>
            <w:r>
              <w:rPr>
                <w:rFonts w:hint="eastAsia"/>
                <w:color w:val="000000" w:themeColor="text1"/>
                <w:szCs w:val="21"/>
              </w:rPr>
              <w:t>次日</w:t>
            </w:r>
            <w:r>
              <w:rPr>
                <w:color w:val="000000" w:themeColor="text1"/>
                <w:szCs w:val="21"/>
              </w:rPr>
              <w:t xml:space="preserve"> 08 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体系运行时间是否满足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4.4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管理手册发布的时间：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至今管理体系已运行</w:t>
            </w:r>
            <w:r>
              <w:rPr>
                <w:rFonts w:hint="eastAsia"/>
                <w:color w:val="000000" w:themeColor="text1"/>
                <w:lang w:val="en-US" w:eastAsia="zh-CN"/>
              </w:rPr>
              <w:t>6</w:t>
            </w:r>
            <w:r>
              <w:rPr>
                <w:rFonts w:hint="eastAsia"/>
                <w:color w:val="000000" w:themeColor="text1"/>
              </w:rPr>
              <w:t>个月以上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至今管理体系运行不足</w:t>
            </w:r>
            <w:r>
              <w:rPr>
                <w:rFonts w:hint="eastAsia"/>
                <w:color w:val="000000" w:themeColor="text1"/>
                <w:lang w:val="en-US" w:eastAsia="zh-CN"/>
              </w:rPr>
              <w:t>6</w:t>
            </w:r>
            <w:r>
              <w:rPr>
                <w:rFonts w:hint="eastAsia"/>
                <w:color w:val="000000" w:themeColor="text1"/>
              </w:rPr>
              <w:t>个月以</w:t>
            </w:r>
            <w:r>
              <w:rPr>
                <w:rFonts w:hint="eastAsia"/>
                <w:color w:val="000000" w:themeColor="text1"/>
                <w:lang w:val="en-US" w:eastAsia="zh-CN"/>
              </w:rPr>
              <w:t>上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bCs/>
                <w:color w:val="000000" w:themeColor="text1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了解企业基本情况：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（12月8日15:30-17:00）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 xml:space="preserve">主要的相关方和期望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其他机构转入情况（适用时）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4.1/4.2/6.1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主要的内部环境和外部环境分析的充分性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主要的相关方和期望的充分性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确定风险的识别和评价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szCs w:val="18"/>
                <w:highlight w:val="cyan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组织机构设置、职责分配及沟通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  <w:highlight w:val="cy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未发生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已发生，说明：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其他机构转入情况（适用时）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已收集到以往的不符合项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未收集到以往的不符合项 ，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3、文件化体系策划情况（12月9日8:00-10:00）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-管理手册；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7.5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组织的文件化体系的结构——二阶段予以充分性审核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《能源管理手册》 1  份；覆盖了 □QMS □50430 □EMS</w:t>
            </w:r>
            <w:r>
              <w:rPr>
                <w:rFonts w:hint="eastAsia"/>
                <w:color w:val="000000" w:themeColor="text1"/>
                <w:szCs w:val="18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 xml:space="preserve"> EnMS □OHSMS  □FSMS □HACCP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eastAsia="宋体"/>
                <w:b/>
                <w:bCs/>
                <w:color w:val="FF0000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Cs w:val="18"/>
                <w:lang w:val="en-US" w:eastAsia="zh-CN"/>
              </w:rPr>
              <w:t>文件审核问题：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Cs w:val="18"/>
              </w:rPr>
              <w:t>1、在“能源管理手册发布令”、“管理者代表任命书”、“2  引用标准”、“3  术语和定义”等段落缺少标准“RB∕T 114-2014能源管理体系 纯碱、焦化、橡塑制品、制药等化工企业认证要求”的加入描述。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-文件化的程序；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7.5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文件化的程序； 2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Cs w:val="18"/>
              </w:rPr>
              <w:t xml:space="preserve"> 份；详见《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程序</w:t>
            </w:r>
            <w:r>
              <w:rPr>
                <w:rFonts w:hint="eastAsia"/>
                <w:color w:val="000000" w:themeColor="text1"/>
                <w:szCs w:val="18"/>
              </w:rPr>
              <w:t>文件清单》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 xml:space="preserve">- 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能源</w:t>
            </w:r>
            <w:r>
              <w:rPr>
                <w:rFonts w:hint="eastAsia"/>
                <w:color w:val="000000" w:themeColor="text1"/>
                <w:szCs w:val="18"/>
              </w:rPr>
              <w:t>作业文件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管理制度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szCs w:val="18"/>
              </w:rPr>
              <w:t xml:space="preserve">；  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 w:themeColor="text1"/>
                <w:szCs w:val="18"/>
              </w:rPr>
              <w:t xml:space="preserve">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 xml:space="preserve">- 记录表格； 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 w:themeColor="text1"/>
                <w:szCs w:val="18"/>
              </w:rPr>
              <w:t xml:space="preserve"> 份；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4、各管理体系的运行情况：（10:00-11:30）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管理方针制定与贯彻情况</w:t>
            </w:r>
          </w:p>
          <w:p>
            <w:pPr>
              <w:rPr>
                <w:rFonts w:hint="eastAsia" w:eastAsia="宋体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5.2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组织文件化的管理方针已制定，</w:t>
            </w:r>
            <w:r>
              <w:rPr>
                <w:rFonts w:hint="eastAsia"/>
                <w:color w:val="000000" w:themeColor="text1"/>
                <w:szCs w:val="18"/>
                <w:u w:val="none"/>
              </w:rPr>
              <w:t>能源方针</w:t>
            </w:r>
            <w:r>
              <w:rPr>
                <w:rFonts w:hint="eastAsia"/>
                <w:color w:val="000000" w:themeColor="text1"/>
                <w:szCs w:val="18"/>
              </w:rPr>
              <w:t>内容为：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遵守法规  清洁生产  创新改造  提高能效。</w:t>
            </w:r>
            <w:r>
              <w:rPr>
                <w:color w:val="000000" w:themeColor="text1"/>
                <w:szCs w:val="18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>贯彻情况：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文件发放</w:t>
            </w:r>
            <w:r>
              <w:rPr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□标语 □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展板</w:t>
            </w:r>
            <w:r>
              <w:rPr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网站</w:t>
            </w:r>
            <w:r>
              <w:rPr>
                <w:color w:val="000000" w:themeColor="text1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员工手册</w:t>
            </w:r>
            <w:r>
              <w:rPr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管理目标及完成统计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6.2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2020年目标：橡胶件单位产品能耗≦1.76kgce/kg；TPV件单位产品能耗≦1.72kgce/kg。2021年目标：橡胶件单位产品能耗≦1.60kgce/kg；TPV件单位产品能耗≦1.61kgce/kg。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员工对相关标准的认知和能力（贯标培训、应知应会、持证上岗等）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7.2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标准宣贯的时间：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□QMS  □EMS  □OHSMS 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>E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 w:themeColor="text1"/>
                <w:szCs w:val="21"/>
              </w:rPr>
              <w:t>MS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 xml:space="preserve">□FSMSMS  □HACCP  </w:t>
            </w:r>
          </w:p>
          <w:p>
            <w:pPr>
              <w:widowControl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已培训了相关标准和内审员知识；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 w:themeColor="text1"/>
                <w:szCs w:val="21"/>
              </w:rPr>
              <w:t>□满足要求，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>基本满足要求，□不满足要求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相关方/客户的反馈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4.2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主要的相关方和期望的充分性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内审的策划和实施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9.2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自管理体系建立后，于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5-6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内审计划、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内审检查表、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不符合项报告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份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，对体系整体运行的有效性影响较轻，通过现场交流的方式得到解决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内审报告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。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管理体系的评审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9.3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自管理体系建立后，于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18"/>
              </w:rPr>
              <w:t>日实施了管理评审；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>管理评审输入</w:t>
            </w:r>
            <w:r>
              <w:rPr>
                <w:rFonts w:hint="eastAsia"/>
                <w:color w:val="000000" w:themeColor="text1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管理评审输出（报告）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。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对多现场（固定）建立的控制的水平（适用时）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4.3/4.4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多现场的名称和具体位置：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color w:val="000000" w:themeColor="text1"/>
                <w:szCs w:val="21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多场所申报清单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对临时场所建立的控制的水平（适用时）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4.3/4.4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临时现场的名称和具体位置：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企业在建项目清单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7.1/4.1</w:t>
            </w:r>
          </w:p>
        </w:tc>
        <w:tc>
          <w:tcPr>
            <w:tcW w:w="109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其他：         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不存在影响二阶段审核的问题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</w:rPr>
              <w:t>公司有一支经验丰富的专业研发团队，</w:t>
            </w:r>
            <w:r>
              <w:rPr>
                <w:rFonts w:hint="eastAsia"/>
                <w:color w:val="000000" w:themeColor="text1"/>
                <w:szCs w:val="21"/>
              </w:rPr>
              <w:t>总人数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92</w:t>
            </w:r>
            <w:r>
              <w:rPr>
                <w:rFonts w:hint="eastAsia"/>
                <w:color w:val="000000" w:themeColor="text1"/>
                <w:szCs w:val="21"/>
              </w:rPr>
              <w:t>人，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其中体系堵盖人数92人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大专或中专以上学历人数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72</w:t>
            </w:r>
            <w:r>
              <w:rPr>
                <w:rFonts w:hint="eastAsia"/>
                <w:color w:val="000000" w:themeColor="text1"/>
                <w:szCs w:val="21"/>
              </w:rPr>
              <w:t>人；管理人员 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56</w:t>
            </w:r>
            <w:r>
              <w:rPr>
                <w:rFonts w:hint="eastAsia"/>
                <w:color w:val="000000" w:themeColor="text1"/>
                <w:szCs w:val="21"/>
              </w:rPr>
              <w:t>人，劳务派遣人员0 人；临时工0 人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倒班工人为16人，全部为常白班，兼职工作员工数0人；</w:t>
            </w:r>
            <w:r>
              <w:rPr>
                <w:rFonts w:hint="eastAsia"/>
                <w:color w:val="000000" w:themeColor="text1"/>
                <w:szCs w:val="21"/>
              </w:rPr>
              <w:t>季节工 0 人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。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公司的基础资源包括：人力资源、基础设施、信息、生产以及生产管理、工作与工作环境、监视与测量资源等（能源计量器具），公司对人员、主要耗能设备设施和工作环境等资源条件规定了相应的要求，以达到满足顾客及相关方要求的目的，基本满足体系标准的要求，可以进行二阶段审核。具体证据在二阶段审核时进行获取。</w:t>
            </w:r>
          </w:p>
        </w:tc>
        <w:tc>
          <w:tcPr>
            <w:tcW w:w="6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</w:p>
        </w:tc>
      </w:tr>
    </w:tbl>
    <w:p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2B2638A"/>
    <w:rsid w:val="047D6715"/>
    <w:rsid w:val="04E66B72"/>
    <w:rsid w:val="057B61BC"/>
    <w:rsid w:val="0A0D1352"/>
    <w:rsid w:val="0B665D46"/>
    <w:rsid w:val="0DE678DC"/>
    <w:rsid w:val="0E584A1A"/>
    <w:rsid w:val="0EA35F1E"/>
    <w:rsid w:val="1303564D"/>
    <w:rsid w:val="134E54F4"/>
    <w:rsid w:val="140F1ACF"/>
    <w:rsid w:val="15C332CB"/>
    <w:rsid w:val="1775282D"/>
    <w:rsid w:val="18B0256F"/>
    <w:rsid w:val="196E5D4C"/>
    <w:rsid w:val="1A337E59"/>
    <w:rsid w:val="1A9C09F8"/>
    <w:rsid w:val="1ADA1082"/>
    <w:rsid w:val="1AF21ED1"/>
    <w:rsid w:val="1D664946"/>
    <w:rsid w:val="1F3C2C99"/>
    <w:rsid w:val="1FB20D0B"/>
    <w:rsid w:val="26976C7E"/>
    <w:rsid w:val="27DB03E9"/>
    <w:rsid w:val="2BFA4849"/>
    <w:rsid w:val="2DF04FBB"/>
    <w:rsid w:val="2FC608E3"/>
    <w:rsid w:val="312171D0"/>
    <w:rsid w:val="31695936"/>
    <w:rsid w:val="33001F69"/>
    <w:rsid w:val="342505BF"/>
    <w:rsid w:val="36F22E22"/>
    <w:rsid w:val="39AC6892"/>
    <w:rsid w:val="3A1D497A"/>
    <w:rsid w:val="3B503D6D"/>
    <w:rsid w:val="3C1146FF"/>
    <w:rsid w:val="3F337BEF"/>
    <w:rsid w:val="3F813F85"/>
    <w:rsid w:val="45C77626"/>
    <w:rsid w:val="45D513DA"/>
    <w:rsid w:val="465F2D87"/>
    <w:rsid w:val="46ED00AB"/>
    <w:rsid w:val="4B3737D8"/>
    <w:rsid w:val="4DA06891"/>
    <w:rsid w:val="51F65E6E"/>
    <w:rsid w:val="52861D1B"/>
    <w:rsid w:val="53145C03"/>
    <w:rsid w:val="542E63CF"/>
    <w:rsid w:val="55246C39"/>
    <w:rsid w:val="56213DDB"/>
    <w:rsid w:val="5E687504"/>
    <w:rsid w:val="5F8D511C"/>
    <w:rsid w:val="61A11641"/>
    <w:rsid w:val="61B548E1"/>
    <w:rsid w:val="67A108C5"/>
    <w:rsid w:val="67FA4B26"/>
    <w:rsid w:val="6AB73EA7"/>
    <w:rsid w:val="6B204C45"/>
    <w:rsid w:val="6DB61995"/>
    <w:rsid w:val="6E9C397D"/>
    <w:rsid w:val="72D90C75"/>
    <w:rsid w:val="73CA65BE"/>
    <w:rsid w:val="76A1390B"/>
    <w:rsid w:val="786461A2"/>
    <w:rsid w:val="7A6C3467"/>
    <w:rsid w:val="7B7B272A"/>
    <w:rsid w:val="7E4470A0"/>
    <w:rsid w:val="7FF07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0</TotalTime>
  <ScaleCrop>false</ScaleCrop>
  <LinksUpToDate>false</LinksUpToDate>
  <CharactersWithSpaces>18099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2021-12-15T12:04:18Z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