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1227-2021-QEO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浙江鸿圣木业有限公司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浙江鸿圣木业有限公司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浙江省湖州市南浔区旧馆镇塘南村河滨路58号-1 （自主申报）</w:t>
            </w:r>
            <w:bookmarkEnd w:id="6"/>
          </w:p>
        </w:tc>
        <w:tc>
          <w:tcPr>
            <w:tcW w:w="1242" w:type="dxa"/>
            <w:vMerge w:val="restart"/>
            <w:vAlign w:val="center"/>
          </w:tcPr>
          <w:p>
            <w:r>
              <w:rPr>
                <w:rFonts w:hint="eastAsia"/>
              </w:rPr>
              <w:t>邮编</w:t>
            </w:r>
          </w:p>
        </w:tc>
        <w:tc>
          <w:tcPr>
            <w:tcW w:w="1771" w:type="dxa"/>
          </w:tcPr>
          <w:p>
            <w:bookmarkStart w:id="7" w:name="注册邮编"/>
            <w:r>
              <w:t>313000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浙江省湖州市南浔区旧馆镇塘南村河滨路58号</w:t>
            </w:r>
            <w:bookmarkEnd w:id="8"/>
          </w:p>
        </w:tc>
        <w:tc>
          <w:tcPr>
            <w:tcW w:w="1242" w:type="dxa"/>
            <w:vMerge w:val="continue"/>
            <w:vAlign w:val="center"/>
          </w:tcPr>
          <w:p/>
        </w:tc>
        <w:tc>
          <w:tcPr>
            <w:tcW w:w="1771" w:type="dxa"/>
          </w:tcPr>
          <w:p>
            <w:bookmarkStart w:id="9" w:name="办公邮编"/>
            <w:r>
              <w:t>313000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王红利</w:t>
            </w:r>
            <w:bookmarkEnd w:id="10"/>
          </w:p>
        </w:tc>
        <w:tc>
          <w:tcPr>
            <w:tcW w:w="1313" w:type="dxa"/>
            <w:vAlign w:val="center"/>
          </w:tcPr>
          <w:p>
            <w:r>
              <w:rPr>
                <w:rFonts w:hint="eastAsia"/>
              </w:rPr>
              <w:t>电话.</w:t>
            </w:r>
          </w:p>
        </w:tc>
        <w:tc>
          <w:tcPr>
            <w:tcW w:w="2180" w:type="dxa"/>
            <w:vAlign w:val="center"/>
          </w:tcPr>
          <w:p>
            <w:bookmarkStart w:id="11" w:name="联系人电话"/>
            <w:r>
              <w:t>0572-3881670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王红利</w:t>
            </w:r>
            <w:bookmarkEnd w:id="13"/>
          </w:p>
        </w:tc>
        <w:tc>
          <w:tcPr>
            <w:tcW w:w="1313" w:type="dxa"/>
            <w:vAlign w:val="center"/>
          </w:tcPr>
          <w:p>
            <w:r>
              <w:rPr>
                <w:rFonts w:hint="eastAsia"/>
              </w:rPr>
              <w:t>管理者代表</w:t>
            </w:r>
          </w:p>
        </w:tc>
        <w:tc>
          <w:tcPr>
            <w:tcW w:w="2180" w:type="dxa"/>
          </w:tcPr>
          <w:p>
            <w:bookmarkStart w:id="14" w:name="管理者代表"/>
            <w:r>
              <w:t>丁盛</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tabs>
                <w:tab w:val="left" w:pos="360"/>
              </w:tabs>
              <w:ind w:left="360" w:hanging="360"/>
              <w:rPr>
                <w:rFonts w:ascii="宋体"/>
                <w:color w:val="000000"/>
                <w:szCs w:val="21"/>
              </w:rPr>
            </w:pPr>
            <w:r>
              <w:rPr>
                <w:rFonts w:hint="eastAsia" w:ascii="宋体"/>
                <w:color w:val="000000"/>
                <w:szCs w:val="21"/>
              </w:rPr>
              <w:t>业务流程图：</w:t>
            </w:r>
          </w:p>
          <w:p>
            <w:pPr>
              <w:tabs>
                <w:tab w:val="left" w:pos="360"/>
              </w:tabs>
              <w:ind w:left="360" w:hanging="360"/>
              <w:rPr>
                <w:rFonts w:hint="eastAsia" w:ascii="宋体"/>
                <w:color w:val="000000"/>
                <w:szCs w:val="21"/>
              </w:rPr>
            </w:pPr>
            <w:r>
              <w:rPr>
                <w:rFonts w:hint="eastAsia" w:ascii="宋体"/>
                <w:color w:val="000000"/>
                <w:szCs w:val="21"/>
              </w:rPr>
              <w:t>业务洽谈→签订合同→备货→验货→出货→客户管理→持续改进</w:t>
            </w:r>
          </w:p>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2021年12月07日 上午至2021年12月08日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Q：运动木地板，pvc地板，强化复合地板销售服务</w:t>
            </w:r>
          </w:p>
          <w:p>
            <w:r>
              <w:t>E：运动木地板，pvc地板，强化复合地板销售服务所涉及场所的相关环境管理活动</w:t>
            </w:r>
          </w:p>
          <w:p>
            <w:r>
              <w:t>O：运动木地板，pvc地板，强化复合地板销售服务所涉及场所的相关职业健康安全管理活动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Q：29.11.03</w:t>
            </w:r>
          </w:p>
          <w:p>
            <w:r>
              <w:t>E：29.11.03</w:t>
            </w:r>
          </w:p>
          <w:p>
            <w:r>
              <w:t>O：29.11.03</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7</w:t>
            </w:r>
            <w:r>
              <w:rPr>
                <w:rFonts w:hint="eastAsia"/>
                <w:color w:val="000000"/>
                <w:szCs w:val="18"/>
              </w:rPr>
              <w:t>月</w:t>
            </w:r>
            <w:r>
              <w:rPr>
                <w:rFonts w:hint="eastAsia"/>
                <w:color w:val="000000"/>
                <w:szCs w:val="18"/>
                <w:lang w:val="en-US" w:eastAsia="zh-CN"/>
              </w:rPr>
              <w:t>5</w:t>
            </w:r>
            <w:r>
              <w:rPr>
                <w:rFonts w:hint="eastAsia"/>
                <w:color w:val="000000"/>
                <w:szCs w:val="18"/>
              </w:rPr>
              <w:t>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pPr>
            <w:r>
              <w:t>浙江鸿圣木业有限公司</w:t>
            </w:r>
          </w:p>
          <w:p>
            <w:pPr>
              <w:spacing w:before="40" w:after="40"/>
              <w:rPr>
                <w:lang w:val="de-DE" w:eastAsia="ja-JP"/>
              </w:rPr>
            </w:pPr>
            <w:r>
              <w:rPr>
                <w:sz w:val="21"/>
                <w:szCs w:val="21"/>
              </w:rPr>
              <w:t>浙江省湖州市南浔区旧馆镇塘南村河滨路58号-1 （自主申报）</w:t>
            </w:r>
          </w:p>
        </w:tc>
        <w:tc>
          <w:tcPr>
            <w:tcW w:w="2267" w:type="dxa"/>
            <w:vAlign w:val="top"/>
          </w:tcPr>
          <w:p>
            <w:pPr>
              <w:spacing w:before="40" w:after="40"/>
              <w:rPr>
                <w:lang w:val="de-DE" w:eastAsia="ja-JP"/>
              </w:rPr>
            </w:pPr>
            <w:r>
              <w:rPr>
                <w:sz w:val="21"/>
                <w:szCs w:val="21"/>
              </w:rPr>
              <w:t>浙江省湖州市南浔区旧馆镇塘南村河滨路58号</w:t>
            </w:r>
          </w:p>
        </w:tc>
        <w:tc>
          <w:tcPr>
            <w:tcW w:w="571" w:type="dxa"/>
            <w:vAlign w:val="center"/>
          </w:tcPr>
          <w:p>
            <w:pPr>
              <w:spacing w:before="40" w:after="40"/>
              <w:rPr>
                <w:lang w:eastAsia="ja-JP"/>
              </w:rPr>
            </w:pPr>
            <w:r>
              <w:rPr>
                <w:rFonts w:hint="eastAsia" w:eastAsia="黑体"/>
                <w:szCs w:val="21"/>
                <w:lang w:val="en-US" w:eastAsia="zh-CN"/>
              </w:rPr>
              <w:t>15</w:t>
            </w:r>
          </w:p>
        </w:tc>
        <w:tc>
          <w:tcPr>
            <w:tcW w:w="2803" w:type="dxa"/>
            <w:vAlign w:val="center"/>
          </w:tcPr>
          <w:p>
            <w:r>
              <w:t>Q：运动木地板，pvc地板，强化复合地板销售服务</w:t>
            </w:r>
          </w:p>
          <w:p>
            <w:r>
              <w:t>E：运动木地板，pvc地板，强化复合地板销售服务所涉及场所的相关环境管理活动</w:t>
            </w:r>
          </w:p>
          <w:p>
            <w:pPr>
              <w:pStyle w:val="22"/>
              <w:rPr>
                <w:lang w:eastAsia="ja-JP"/>
              </w:rPr>
            </w:pPr>
            <w:r>
              <w:t>O：运动木地板，pvc地板，强化复合地板销售服务所涉及场所的相关职业健康安全管理活动</w:t>
            </w:r>
          </w:p>
        </w:tc>
        <w:tc>
          <w:tcPr>
            <w:tcW w:w="669" w:type="dxa"/>
            <w:vAlign w:val="center"/>
          </w:tcPr>
          <w:p>
            <w:pPr>
              <w:rPr>
                <w:rFonts w:hint="eastAsia" w:ascii="宋体" w:hAnsi="宋体"/>
                <w:b/>
                <w:color w:val="000000"/>
                <w:szCs w:val="21"/>
                <w:lang w:val="en-US" w:eastAsia="zh-CN"/>
              </w:rPr>
            </w:pPr>
            <w:r>
              <w:rPr>
                <w:rFonts w:hint="eastAsia" w:ascii="宋体" w:hAnsi="宋体"/>
                <w:b/>
                <w:color w:val="000000"/>
                <w:szCs w:val="21"/>
                <w:lang w:val="de-DE"/>
              </w:rPr>
              <w:t>GB/T19001-2016</w:t>
            </w:r>
            <w:r>
              <w:rPr>
                <w:rFonts w:hint="eastAsia" w:ascii="宋体" w:hAnsi="宋体"/>
                <w:b/>
                <w:color w:val="000000"/>
                <w:szCs w:val="21"/>
                <w:lang w:val="de-DE" w:eastAsia="zh-CN"/>
              </w:rPr>
              <w:t>、</w:t>
            </w:r>
            <w:r>
              <w:rPr>
                <w:rFonts w:hint="eastAsia" w:ascii="宋体" w:hAnsi="宋体"/>
                <w:b/>
                <w:color w:val="000000"/>
                <w:szCs w:val="21"/>
                <w:lang w:val="de-DE"/>
              </w:rPr>
              <w:t>GB/T24001-2016</w:t>
            </w:r>
            <w:r>
              <w:rPr>
                <w:rFonts w:hint="eastAsia" w:ascii="宋体" w:hAnsi="宋体"/>
                <w:b/>
                <w:color w:val="000000"/>
                <w:szCs w:val="21"/>
                <w:lang w:val="de-DE" w:eastAsia="zh-CN"/>
              </w:rPr>
              <w:t>、</w:t>
            </w:r>
            <w:r>
              <w:rPr>
                <w:rFonts w:hint="eastAsia" w:ascii="宋体" w:hAnsi="宋体"/>
                <w:b/>
                <w:color w:val="000000"/>
                <w:szCs w:val="21"/>
                <w:lang w:val="de-DE"/>
              </w:rPr>
              <w:t>GB/T</w:t>
            </w:r>
            <w:r>
              <w:rPr>
                <w:rFonts w:hint="eastAsia" w:ascii="宋体" w:hAnsi="宋体"/>
                <w:b/>
                <w:color w:val="000000"/>
                <w:szCs w:val="21"/>
                <w:lang w:val="en-US" w:eastAsia="zh-CN"/>
              </w:rPr>
              <w:t>45</w:t>
            </w:r>
            <w:r>
              <w:rPr>
                <w:rFonts w:hint="eastAsia" w:ascii="宋体" w:hAnsi="宋体"/>
                <w:b/>
                <w:color w:val="000000"/>
                <w:szCs w:val="21"/>
                <w:lang w:val="de-DE"/>
              </w:rPr>
              <w:t>001-20</w:t>
            </w:r>
            <w:r>
              <w:rPr>
                <w:rFonts w:hint="eastAsia" w:ascii="宋体" w:hAnsi="宋体"/>
                <w:b/>
                <w:color w:val="000000"/>
                <w:szCs w:val="21"/>
                <w:lang w:val="en-US" w:eastAsia="zh-CN"/>
              </w:rPr>
              <w:t>20</w:t>
            </w:r>
          </w:p>
          <w:p>
            <w:pPr>
              <w:spacing w:before="40" w:after="40"/>
              <w:rPr>
                <w:lang w:eastAsia="ja-JP"/>
              </w:rPr>
            </w:pPr>
          </w:p>
        </w:tc>
        <w:tc>
          <w:tcPr>
            <w:tcW w:w="668" w:type="dxa"/>
            <w:shd w:val="clear" w:color="auto" w:fill="FFFFFF"/>
            <w:vAlign w:val="top"/>
          </w:tcPr>
          <w:p>
            <w:pPr>
              <w:rPr>
                <w:rFonts w:eastAsia="黑体"/>
                <w:szCs w:val="21"/>
              </w:rPr>
            </w:pPr>
            <w:r>
              <w:rPr>
                <w:rFonts w:eastAsia="黑体"/>
                <w:szCs w:val="21"/>
              </w:rPr>
              <w:sym w:font="Wingdings 2" w:char="0052"/>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张磊</w:t>
            </w:r>
          </w:p>
        </w:tc>
        <w:tc>
          <w:tcPr>
            <w:tcW w:w="1089" w:type="dxa"/>
            <w:vAlign w:val="center"/>
          </w:tcPr>
          <w:p>
            <w:r>
              <w:t>组长</w:t>
            </w:r>
          </w:p>
        </w:tc>
        <w:tc>
          <w:tcPr>
            <w:tcW w:w="711" w:type="dxa"/>
            <w:vAlign w:val="center"/>
          </w:tcPr>
          <w:p>
            <w:r>
              <w:t>男</w:t>
            </w:r>
          </w:p>
        </w:tc>
        <w:tc>
          <w:tcPr>
            <w:tcW w:w="3870" w:type="dxa"/>
            <w:vAlign w:val="center"/>
          </w:tcPr>
          <w:p>
            <w:r>
              <w:t>2019-N1QMS-1258213</w:t>
            </w:r>
          </w:p>
          <w:p>
            <w:r>
              <w:t>2020-N1EMS-1258213</w:t>
            </w:r>
          </w:p>
          <w:p>
            <w:r>
              <w:t>2020-N1OHSMS-1258213</w:t>
            </w:r>
          </w:p>
        </w:tc>
        <w:tc>
          <w:tcPr>
            <w:tcW w:w="2179" w:type="dxa"/>
            <w:vAlign w:val="center"/>
          </w:tcPr>
          <w:p>
            <w:r>
              <w:t>Q:29.11.03</w:t>
            </w:r>
          </w:p>
          <w:p>
            <w:r>
              <w:t>E:29.11.03</w:t>
            </w:r>
          </w:p>
          <w:p>
            <w:r>
              <w:t>O:29.11.03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林兵</w:t>
            </w:r>
          </w:p>
        </w:tc>
        <w:tc>
          <w:tcPr>
            <w:tcW w:w="1089" w:type="dxa"/>
            <w:vAlign w:val="center"/>
          </w:tcPr>
          <w:p>
            <w:r>
              <w:t>组员</w:t>
            </w:r>
          </w:p>
        </w:tc>
        <w:tc>
          <w:tcPr>
            <w:tcW w:w="711" w:type="dxa"/>
            <w:vAlign w:val="center"/>
          </w:tcPr>
          <w:p>
            <w:r>
              <w:t>男</w:t>
            </w:r>
          </w:p>
        </w:tc>
        <w:tc>
          <w:tcPr>
            <w:tcW w:w="3870" w:type="dxa"/>
            <w:vAlign w:val="center"/>
          </w:tcPr>
          <w:p>
            <w:r>
              <w:t>2019-N1QMS-4059501</w:t>
            </w:r>
          </w:p>
          <w:p>
            <w:r>
              <w:t>2020-N1EMS-3059501</w:t>
            </w:r>
          </w:p>
          <w:p>
            <w:r>
              <w:t>2019-N1OHSMS-2059501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王献华</w:t>
            </w:r>
          </w:p>
        </w:tc>
        <w:tc>
          <w:tcPr>
            <w:tcW w:w="1089" w:type="dxa"/>
            <w:vAlign w:val="center"/>
          </w:tcPr>
          <w:p>
            <w:r>
              <w:t>组员</w:t>
            </w:r>
          </w:p>
        </w:tc>
        <w:tc>
          <w:tcPr>
            <w:tcW w:w="711" w:type="dxa"/>
            <w:vAlign w:val="center"/>
          </w:tcPr>
          <w:p>
            <w:r>
              <w:t>男</w:t>
            </w:r>
          </w:p>
        </w:tc>
        <w:tc>
          <w:tcPr>
            <w:tcW w:w="3870" w:type="dxa"/>
            <w:vAlign w:val="center"/>
          </w:tcPr>
          <w:p>
            <w:r>
              <w:t>2021-N1QMS-1244982</w:t>
            </w:r>
          </w:p>
          <w:p>
            <w:r>
              <w:t>2021-N0EMS-1244982</w:t>
            </w:r>
          </w:p>
          <w:p>
            <w:r>
              <w:t>2021-N0OHSMS-1244982</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2"/>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vMerge w:val="restart"/>
          </w:tcPr>
          <w:p>
            <w:pPr>
              <w:rPr>
                <w:rFonts w:hint="eastAsia" w:eastAsia="宋体"/>
                <w:lang w:val="en-US" w:eastAsia="zh-CN"/>
              </w:rPr>
            </w:pPr>
            <w:r>
              <w:rPr>
                <w:rFonts w:hint="eastAsia"/>
                <w:lang w:val="en-US" w:eastAsia="zh-CN"/>
              </w:rPr>
              <w:t>2</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vMerge w:val="continue"/>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vMerge w:val="continue"/>
          </w:tcP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vMerge w:val="continue"/>
          </w:tcP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w:t>
            </w:r>
            <w:r>
              <w:rPr>
                <w:rFonts w:hint="eastAsia"/>
              </w:rPr>
              <w:sym w:font="Wingdings 2" w:char="0052"/>
            </w:r>
            <w:r>
              <w:rPr>
                <w:rFonts w:hint="eastAsia"/>
              </w:rPr>
              <w:t>人员能力□检测水平</w:t>
            </w:r>
            <w:r>
              <w:rPr>
                <w:rFonts w:hint="eastAsia"/>
              </w:rPr>
              <w:sym w:font="Wingdings 2" w:char="0052"/>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eastAsia="zh-CN"/>
              </w:rPr>
            </w:pPr>
            <w:r>
              <w:rPr>
                <w:rFonts w:hint="eastAsia"/>
              </w:rPr>
              <w:t>最高管理者制定了文件化的</w:t>
            </w:r>
            <w:r>
              <w:rPr>
                <w:rFonts w:hint="eastAsia"/>
                <w:lang w:eastAsia="zh-CN"/>
              </w:rPr>
              <w:t>管理体系方针：营造绿色环境、提高环境意识；推进节能降耗、达到持续改进；关爱员工健康，防范安全风险；倡导以人为本，推进持续发展</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w:t>
            </w:r>
            <w:r>
              <w:rPr>
                <w:rFonts w:hint="eastAsia"/>
                <w:lang w:eastAsia="zh-CN"/>
              </w:rPr>
              <w:t>主管部门是——行政部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9"/>
              <w:gridCol w:w="322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pPr>
                  <w:r>
                    <w:rPr>
                      <w:rFonts w:hint="eastAsia"/>
                    </w:rPr>
                    <w:t>主要的风险或机遇描述</w:t>
                  </w:r>
                </w:p>
              </w:tc>
              <w:tc>
                <w:tcPr>
                  <w:tcW w:w="3226"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pPr>
                  <w:r>
                    <w:rPr>
                      <w:rFonts w:hint="eastAsia"/>
                    </w:rPr>
                    <w:t>产品漏检，发给客户的产品缺少检测报告和说明书，造成客户不满意</w:t>
                  </w:r>
                </w:p>
              </w:tc>
              <w:tc>
                <w:tcPr>
                  <w:tcW w:w="3226" w:type="dxa"/>
                </w:tcPr>
                <w:p>
                  <w:pPr>
                    <w:shd w:val="clear" w:color="auto" w:fill="C7DAF1" w:themeFill="text2" w:themeFillTint="32"/>
                  </w:pPr>
                  <w:r>
                    <w:rPr>
                      <w:rFonts w:hint="eastAsia"/>
                    </w:rPr>
                    <w:t>加强产品检验，做到100%全检</w:t>
                  </w:r>
                </w:p>
              </w:tc>
              <w:tc>
                <w:tcPr>
                  <w:tcW w:w="1717" w:type="dxa"/>
                </w:tcPr>
                <w:p>
                  <w:pPr>
                    <w:shd w:val="clear" w:color="auto" w:fill="C7DAF1" w:themeFill="text2"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pPr>
                  <w:r>
                    <w:rPr>
                      <w:rFonts w:hint="eastAsia"/>
                    </w:rPr>
                    <w:t>没有及时获取政府管理部门与环境有关的公告、通知、提示等文件；</w:t>
                  </w:r>
                </w:p>
              </w:tc>
              <w:tc>
                <w:tcPr>
                  <w:tcW w:w="3226" w:type="dxa"/>
                </w:tcPr>
                <w:p>
                  <w:pPr>
                    <w:shd w:val="clear" w:color="auto" w:fill="C7DAF1" w:themeFill="text2" w:themeFillTint="32"/>
                  </w:pPr>
                  <w:r>
                    <w:rPr>
                      <w:rFonts w:hint="eastAsia"/>
                    </w:rPr>
                    <w:t>加强与相关的管理部门的联系，文件的管理</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pPr>
                  <w:r>
                    <w:rPr>
                      <w:rFonts w:hint="eastAsia"/>
                    </w:rPr>
                    <w:t>法律法规收集不全；法律法规收集不及时；法律法规变化不了解。</w:t>
                  </w:r>
                </w:p>
              </w:tc>
              <w:tc>
                <w:tcPr>
                  <w:tcW w:w="3226" w:type="dxa"/>
                </w:tcPr>
                <w:p>
                  <w:pPr>
                    <w:shd w:val="clear" w:color="auto" w:fill="C7DAF1" w:themeFill="text2" w:themeFillTint="32"/>
                    <w:rPr>
                      <w:rFonts w:hint="eastAsia" w:eastAsia="宋体"/>
                      <w:lang w:eastAsia="zh-CN"/>
                    </w:rPr>
                  </w:pPr>
                  <w:r>
                    <w:rPr>
                      <w:rFonts w:hint="eastAsia"/>
                    </w:rPr>
                    <w:t>建立对相关法律法规的更新信息的渠道</w:t>
                  </w:r>
                  <w:r>
                    <w:rPr>
                      <w:rFonts w:hint="eastAsia"/>
                      <w:lang w:eastAsia="zh-CN"/>
                    </w:rPr>
                    <w:t>、实施对公司的适宜的法律法规更新</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pPr>
                </w:p>
              </w:tc>
              <w:tc>
                <w:tcPr>
                  <w:tcW w:w="3226"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ascii="Times New Roman" w:hAnsi="Times New Roman" w:eastAsia="宋体" w:cs="Times New Roman"/>
                      <w:color w:val="000000"/>
                      <w:szCs w:val="18"/>
                    </w:rPr>
                    <w:t>产品交付合格率≥98%</w:t>
                  </w:r>
                </w:p>
              </w:tc>
              <w:tc>
                <w:tcPr>
                  <w:tcW w:w="3136" w:type="dxa"/>
                  <w:shd w:val="clear" w:color="auto" w:fill="auto"/>
                  <w:vAlign w:val="top"/>
                </w:tcPr>
                <w:p>
                  <w:pPr>
                    <w:widowControl/>
                    <w:spacing w:before="40"/>
                    <w:jc w:val="left"/>
                    <w:rPr>
                      <w:lang w:val="en-GB"/>
                    </w:rPr>
                  </w:pPr>
                  <w:r>
                    <w:rPr>
                      <w:rFonts w:hint="eastAsia" w:ascii="Times New Roman" w:hAnsi="Times New Roman" w:eastAsia="宋体" w:cs="Times New Roman"/>
                      <w:color w:val="000000"/>
                      <w:szCs w:val="18"/>
                    </w:rPr>
                    <w:t>合格率＝出厂合格数÷出厂总数×100%</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销售部</w:t>
                  </w:r>
                </w:p>
              </w:tc>
              <w:tc>
                <w:tcPr>
                  <w:tcW w:w="1774" w:type="dxa"/>
                  <w:shd w:val="clear" w:color="auto" w:fill="auto"/>
                  <w:vAlign w:val="top"/>
                </w:tcPr>
                <w:p>
                  <w:pPr>
                    <w:widowControl/>
                    <w:spacing w:before="40"/>
                    <w:jc w:val="left"/>
                    <w:rPr>
                      <w:rFonts w:ascii="宋体" w:hAnsi="宋体"/>
                      <w:lang w:val="en-GB"/>
                    </w:rPr>
                  </w:pPr>
                  <w:r>
                    <w:rPr>
                      <w:rFonts w:hint="eastAsia" w:ascii="Times New Roman" w:hAnsi="Times New Roman" w:eastAsia="宋体" w:cs="Times New Roman"/>
                      <w:color w:val="000000"/>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ascii="Times New Roman" w:hAnsi="Times New Roman" w:eastAsia="宋体" w:cs="Times New Roman"/>
                      <w:color w:val="000000"/>
                      <w:szCs w:val="18"/>
                    </w:rPr>
                    <w:t>顾客满意率≥95%</w:t>
                  </w:r>
                </w:p>
              </w:tc>
              <w:tc>
                <w:tcPr>
                  <w:tcW w:w="3136" w:type="dxa"/>
                  <w:shd w:val="clear" w:color="auto" w:fill="auto"/>
                  <w:vAlign w:val="top"/>
                </w:tcPr>
                <w:p>
                  <w:pPr>
                    <w:widowControl/>
                    <w:spacing w:before="40"/>
                    <w:jc w:val="left"/>
                    <w:rPr>
                      <w:rFonts w:ascii="宋体" w:hAnsi="宋体"/>
                    </w:rPr>
                  </w:pPr>
                  <w:r>
                    <w:rPr>
                      <w:rFonts w:hint="eastAsia" w:ascii="Times New Roman" w:hAnsi="Times New Roman" w:eastAsia="宋体" w:cs="Times New Roman"/>
                      <w:color w:val="000000"/>
                      <w:szCs w:val="18"/>
                    </w:rPr>
                    <w:t>满意率＝顾客满意分数总数÷总分数×100%</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销售部</w:t>
                  </w:r>
                </w:p>
              </w:tc>
              <w:tc>
                <w:tcPr>
                  <w:tcW w:w="1774" w:type="dxa"/>
                  <w:shd w:val="clear" w:color="auto" w:fill="auto"/>
                  <w:vAlign w:val="top"/>
                </w:tcPr>
                <w:p>
                  <w:pPr>
                    <w:widowControl/>
                    <w:spacing w:before="40"/>
                    <w:jc w:val="left"/>
                    <w:rPr>
                      <w:rFonts w:ascii="宋体" w:hAnsi="宋体"/>
                    </w:rPr>
                  </w:pPr>
                  <w:r>
                    <w:rPr>
                      <w:rFonts w:hint="eastAsia" w:ascii="Times New Roman" w:hAnsi="Times New Roman" w:eastAsia="宋体" w:cs="Times New Roman"/>
                      <w:color w:val="000000"/>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fill="C7DAF1" w:themeFill="text2" w:themeFillTint="32"/>
              <w:spacing w:before="40" w:after="40"/>
            </w:pPr>
            <w:r>
              <w:rPr>
                <w:rFonts w:hint="eastAsia"/>
              </w:rPr>
              <w:sym w:font="Wingdings 2" w:char="00A3"/>
            </w: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340</w:t>
            </w:r>
            <w:r>
              <w:rPr>
                <w:rFonts w:hint="eastAsia"/>
              </w:rPr>
              <w:t>平方米；生产车间</w:t>
            </w:r>
            <w:r>
              <w:rPr>
                <w:rFonts w:hint="eastAsia"/>
                <w:lang w:val="en-US" w:eastAsia="zh-CN"/>
              </w:rPr>
              <w:t xml:space="preserve"> </w:t>
            </w:r>
            <w:r>
              <w:rPr>
                <w:rFonts w:hint="eastAsia"/>
              </w:rPr>
              <w:t>个；库房</w:t>
            </w:r>
            <w:r>
              <w:rPr>
                <w:rFonts w:hint="eastAsia"/>
                <w:lang w:val="en-US" w:eastAsia="zh-CN"/>
              </w:rPr>
              <w:t>1</w:t>
            </w:r>
            <w:r>
              <w:rPr>
                <w:rFonts w:hint="eastAsia"/>
              </w:rPr>
              <w:t>个；实验室个；</w:t>
            </w:r>
          </w:p>
          <w:p>
            <w:pPr>
              <w:shd w:val="clear" w:color="auto" w:fill="C7DAF1" w:themeFill="text2" w:themeFillTint="32"/>
              <w:rPr>
                <w:u w:val="single"/>
              </w:rPr>
            </w:pPr>
            <w:r>
              <w:rPr>
                <w:rFonts w:hint="eastAsia"/>
              </w:rPr>
              <w:t>主要生产设备有：</w:t>
            </w:r>
            <w:r>
              <w:rPr>
                <w:rFonts w:hint="eastAsia"/>
                <w:u w:val="single"/>
                <w:lang w:val="en-US" w:eastAsia="zh-CN"/>
              </w:rPr>
              <w:t>电脑、打印机、传真机</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A3"/>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sym w:font="Wingdings 2" w:char="00A3"/>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w:t>
            </w:r>
            <w:r>
              <w:rPr>
                <w:rFonts w:hint="eastAsia"/>
              </w:rPr>
              <w:sym w:font="Wingdings 2" w:char="0052"/>
            </w:r>
            <w:r>
              <w:rPr>
                <w:rFonts w:hint="eastAsia"/>
                <w:lang w:eastAsia="zh-CN"/>
              </w:rPr>
              <w:t>法律法规获取有遗漏，缺少：GB/T 11982.1-2015聚氯乙烯卷材地板 第1部分:非同质聚氯乙烯卷材地板、GB/T 11982.2-2015聚氯乙烯卷材地板 第2部分:同质聚氯乙烯卷材地板、GB/T 18103-2013实木复合地板等</w:t>
            </w:r>
            <w:r>
              <w:rPr>
                <w:rFonts w:hint="eastAsia"/>
                <w:lang w:val="en-US" w:eastAsia="zh-CN"/>
              </w:rPr>
              <w:fldChar w:fldCharType="begin"/>
            </w:r>
            <w:r>
              <w:rPr>
                <w:rFonts w:hint="eastAsia"/>
                <w:lang w:val="en-US" w:eastAsia="zh-CN"/>
              </w:rPr>
              <w:instrText xml:space="preserve"> HYPERLINK "http://www.stdmis.cn/Database/javascript:__doPostBack('ctl00$ctl00$ContentPlaceHolder1$ContentPlaceHolder1$rptStandard$ctl01$lbtnDetail','')" \o "点击查看标准详细信息" </w:instrText>
            </w:r>
            <w:r>
              <w:rPr>
                <w:rFonts w:hint="eastAsia"/>
                <w:lang w:val="en-US" w:eastAsia="zh-CN"/>
              </w:rPr>
              <w:fldChar w:fldCharType="separate"/>
            </w:r>
            <w:r>
              <w:rPr>
                <w:rFonts w:hint="eastAsia"/>
                <w:lang w:val="en-US" w:eastAsia="zh-CN"/>
              </w:rPr>
              <w:t>GB/T 11982.1-2015</w:t>
            </w:r>
            <w:r>
              <w:rPr>
                <w:rFonts w:hint="eastAsia"/>
                <w:lang w:val="en-US" w:eastAsia="zh-CN"/>
              </w:rPr>
              <w:fldChar w:fldCharType="end"/>
            </w:r>
            <w:r>
              <w:rPr>
                <w:rFonts w:hint="eastAsia"/>
                <w:lang w:val="en-US" w:eastAsia="zh-CN"/>
              </w:rPr>
              <w:t>聚氯乙烯卷材地板 第1部分:非同质聚氯乙烯卷材地板、</w:t>
            </w:r>
            <w:r>
              <w:rPr>
                <w:rFonts w:hint="eastAsia"/>
                <w:lang w:val="en-US" w:eastAsia="zh-CN"/>
              </w:rPr>
              <w:fldChar w:fldCharType="begin"/>
            </w:r>
            <w:r>
              <w:rPr>
                <w:rFonts w:hint="eastAsia"/>
                <w:lang w:val="en-US" w:eastAsia="zh-CN"/>
              </w:rPr>
              <w:instrText xml:space="preserve"> HYPERLINK "http://www.stdmis.cn/Database/javascript:__doPostBack('ctl00$ctl00$ContentPlaceHolder1$ContentPlaceHolder1$rptStandard$ctl00$lbtnDetail','')" \o "点击查看标准详细信息" </w:instrText>
            </w:r>
            <w:r>
              <w:rPr>
                <w:rFonts w:hint="eastAsia"/>
                <w:lang w:val="en-US" w:eastAsia="zh-CN"/>
              </w:rPr>
              <w:fldChar w:fldCharType="separate"/>
            </w:r>
            <w:r>
              <w:rPr>
                <w:rFonts w:hint="eastAsia"/>
                <w:lang w:val="en-US" w:eastAsia="zh-CN"/>
              </w:rPr>
              <w:t>GB/T 11982.2-2015</w:t>
            </w:r>
            <w:r>
              <w:rPr>
                <w:rFonts w:hint="eastAsia"/>
                <w:lang w:val="en-US" w:eastAsia="zh-CN"/>
              </w:rPr>
              <w:fldChar w:fldCharType="end"/>
            </w:r>
            <w:r>
              <w:rPr>
                <w:rFonts w:hint="eastAsia"/>
                <w:lang w:val="en-US" w:eastAsia="zh-CN"/>
              </w:rPr>
              <w:t>聚氯乙烯卷材地板 第2部分:同质聚氯乙烯卷材地板、</w:t>
            </w:r>
            <w:r>
              <w:rPr>
                <w:rFonts w:hint="eastAsia"/>
                <w:lang w:val="en-US" w:eastAsia="zh-CN"/>
              </w:rPr>
              <w:fldChar w:fldCharType="begin"/>
            </w:r>
            <w:r>
              <w:rPr>
                <w:rFonts w:hint="eastAsia"/>
                <w:lang w:val="en-US" w:eastAsia="zh-CN"/>
              </w:rPr>
              <w:instrText xml:space="preserve"> HYPERLINK "http://www.stdmis.cn/Database/javascript:__doPostBack('ctl00$ctl00$ContentPlaceHolder1$ContentPlaceHolder1$rptStandard$ctl02$lbtnDetail','')" \o "点击查看标准详细信息" </w:instrText>
            </w:r>
            <w:r>
              <w:rPr>
                <w:rFonts w:hint="eastAsia"/>
                <w:lang w:val="en-US" w:eastAsia="zh-CN"/>
              </w:rPr>
              <w:fldChar w:fldCharType="separate"/>
            </w:r>
            <w:r>
              <w:rPr>
                <w:rFonts w:hint="eastAsia"/>
                <w:lang w:val="en-US" w:eastAsia="zh-CN"/>
              </w:rPr>
              <w:t>GB/T 18103-2013</w:t>
            </w:r>
            <w:r>
              <w:rPr>
                <w:rFonts w:hint="eastAsia"/>
                <w:lang w:val="en-US" w:eastAsia="zh-CN"/>
              </w:rPr>
              <w:fldChar w:fldCharType="end"/>
            </w:r>
            <w:r>
              <w:rPr>
                <w:rFonts w:hint="eastAsia"/>
                <w:lang w:val="en-US" w:eastAsia="zh-CN"/>
              </w:rPr>
              <w:t>实木复合地板等</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9"/>
              <w:gridCol w:w="267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shd w:val="clear" w:color="auto" w:fill="C7DAF1" w:themeFill="text2" w:themeFillTint="32"/>
                    <w:jc w:val="left"/>
                  </w:pPr>
                  <w:r>
                    <w:rPr>
                      <w:rFonts w:hint="eastAsia"/>
                    </w:rPr>
                    <w:t>产品/服务名称</w:t>
                  </w:r>
                </w:p>
              </w:tc>
              <w:tc>
                <w:tcPr>
                  <w:tcW w:w="2678"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shd w:val="clear" w:color="auto" w:fill="C7DAF1" w:themeFill="text2" w:themeFillTint="32"/>
                    <w:jc w:val="left"/>
                  </w:pPr>
                  <w:r>
                    <w:rPr>
                      <w:sz w:val="20"/>
                    </w:rPr>
                    <w:t>运动木地板，pvc地板，强化复合地板销售服务</w:t>
                  </w:r>
                </w:p>
              </w:tc>
              <w:tc>
                <w:tcPr>
                  <w:tcW w:w="2678" w:type="dxa"/>
                </w:tcPr>
                <w:p>
                  <w:pPr>
                    <w:shd w:val="clear" w:color="auto" w:fill="C7DAF1" w:themeFill="text2" w:themeFillTint="32"/>
                    <w:jc w:val="left"/>
                    <w:rPr>
                      <w:rFonts w:hint="eastAsia" w:eastAsia="宋体"/>
                      <w:lang w:val="en-US" w:eastAsia="zh-CN"/>
                    </w:rPr>
                  </w:pPr>
                  <w:r>
                    <w:rPr>
                      <w:rFonts w:hint="eastAsia"/>
                      <w:lang w:val="en-US" w:eastAsia="zh-CN"/>
                    </w:rPr>
                    <w:t>销售</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客户要求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shd w:val="clear" w:color="auto" w:fill="C7DAF1" w:themeFill="text2" w:themeFillTint="32"/>
                    <w:jc w:val="left"/>
                  </w:pPr>
                </w:p>
              </w:tc>
              <w:tc>
                <w:tcPr>
                  <w:tcW w:w="2678"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shd w:val="clear" w:color="auto" w:fill="C7DAF1" w:themeFill="text2" w:themeFillTint="32"/>
                    <w:jc w:val="left"/>
                  </w:pPr>
                </w:p>
              </w:tc>
              <w:tc>
                <w:tcPr>
                  <w:tcW w:w="2678"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销售</w:t>
            </w:r>
            <w:r>
              <w:rPr>
                <w:rFonts w:hint="eastAsia"/>
              </w:rPr>
              <w:t>，</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sym w:font="Wingdings 2" w:char="0052"/>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sym w:font="Wingdings 2" w:char="0052"/>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sym w:font="Wingdings 2" w:char="0052"/>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w:t>
            </w:r>
            <w:r>
              <w:rPr>
                <w:rFonts w:hint="eastAsia"/>
                <w:lang w:eastAsia="zh-CN"/>
              </w:rPr>
              <w:t>年度策划于2021年10月25日-26日</w:t>
            </w:r>
            <w:r>
              <w:rPr>
                <w:rFonts w:hint="eastAsia"/>
              </w:rPr>
              <w:t>实施了质量管理体系内部审核，对质量管理体系的符合性和有效性进行了审核。</w:t>
            </w:r>
            <w:r>
              <w:rPr>
                <w:rFonts w:hint="eastAsia"/>
                <w:lang w:eastAsia="zh-CN"/>
              </w:rPr>
              <w:t>内审发现的1项</w:t>
            </w:r>
            <w:r>
              <w:rPr>
                <w:rFonts w:hint="eastAsia"/>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w:t>
            </w:r>
            <w:r>
              <w:rPr>
                <w:rFonts w:hint="eastAsia"/>
                <w:lang w:eastAsia="zh-CN"/>
              </w:rPr>
              <w:t>在2021年11月8日对组织的</w:t>
            </w:r>
            <w:r>
              <w:rPr>
                <w:rFonts w:hint="eastAsia"/>
              </w:rPr>
              <w:t>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A3"/>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w:t>
            </w:r>
            <w:r>
              <w:rPr>
                <w:rFonts w:hint="eastAsia"/>
              </w:rPr>
              <w:sym w:font="Wingdings 2" w:char="0052"/>
            </w:r>
            <w:r>
              <w:rPr>
                <w:rFonts w:hint="eastAsia"/>
              </w:rPr>
              <w:t>人力资源</w:t>
            </w:r>
            <w:r>
              <w:rPr>
                <w:rFonts w:hint="eastAsia"/>
              </w:rPr>
              <w:sym w:font="Wingdings 2" w:char="0052"/>
            </w:r>
            <w:r>
              <w:rPr>
                <w:rFonts w:hint="eastAsia"/>
              </w:rPr>
              <w:t>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A3"/>
            </w:r>
            <w:r>
              <w:rPr>
                <w:rFonts w:hint="eastAsia"/>
              </w:rPr>
              <w:t>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eastAsia="宋体"/>
                <w:lang w:eastAsia="zh-CN"/>
              </w:rPr>
            </w:pPr>
            <w:r>
              <w:rPr>
                <w:rFonts w:hint="eastAsia"/>
              </w:rPr>
              <w:t>最高管理者制定了文件化的</w:t>
            </w:r>
            <w:r>
              <w:rPr>
                <w:rFonts w:hint="eastAsia"/>
                <w:lang w:eastAsia="zh-CN"/>
              </w:rPr>
              <w:t>管理体系方针：营造绿色环境、提高环境意识；推进节能降耗、达到持续改进；关爱员工健康，防范安全风险；倡导以人为本，推进持续发展</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w:t>
            </w:r>
            <w:r>
              <w:rPr>
                <w:rFonts w:hint="eastAsia"/>
                <w:lang w:eastAsia="zh-CN"/>
              </w:rPr>
              <w:t>主管部门是——行政部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9"/>
              <w:gridCol w:w="322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主要的风险或机遇描述</w:t>
                  </w:r>
                </w:p>
              </w:tc>
              <w:tc>
                <w:tcPr>
                  <w:tcW w:w="3226"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应对措施</w:t>
                  </w:r>
                </w:p>
              </w:tc>
              <w:tc>
                <w:tcPr>
                  <w:tcW w:w="1717"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产品漏检，发给客户的产品缺少检测报告和说明书，造成客户不满意</w:t>
                  </w:r>
                </w:p>
              </w:tc>
              <w:tc>
                <w:tcPr>
                  <w:tcW w:w="3226"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加强产品检验，做到100%全检</w:t>
                  </w:r>
                </w:p>
              </w:tc>
              <w:tc>
                <w:tcPr>
                  <w:tcW w:w="1717" w:type="dxa"/>
                </w:tcPr>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没有及时获取政府管理部门与环境有关的公告、通知、提示等文件；</w:t>
                  </w:r>
                </w:p>
              </w:tc>
              <w:tc>
                <w:tcPr>
                  <w:tcW w:w="3226"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加强与相关的管理部门的联系，文件的管理</w:t>
                  </w:r>
                </w:p>
              </w:tc>
              <w:tc>
                <w:tcPr>
                  <w:tcW w:w="1717"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法律法规收集不全；法律法规收集不及时；法律法规变化不了解。</w:t>
                  </w:r>
                </w:p>
              </w:tc>
              <w:tc>
                <w:tcPr>
                  <w:tcW w:w="3226" w:type="dxa"/>
                </w:tcPr>
                <w:p>
                  <w:pPr>
                    <w:shd w:val="clear" w:color="auto" w:fill="EBF1DE" w:themeFill="accent3" w:themeFillTint="32"/>
                    <w:rPr>
                      <w:rFonts w:hint="eastAsia" w:ascii="Times New Roman" w:hAnsi="Times New Roman" w:eastAsia="宋体" w:cs="Times New Roman"/>
                      <w:lang w:eastAsia="zh-CN"/>
                    </w:rPr>
                  </w:pPr>
                  <w:r>
                    <w:rPr>
                      <w:rFonts w:hint="eastAsia" w:ascii="Times New Roman" w:hAnsi="Times New Roman" w:eastAsia="宋体" w:cs="Times New Roman"/>
                    </w:rPr>
                    <w:t>建立对相关法律法规的更新信息的渠道</w:t>
                  </w:r>
                  <w:r>
                    <w:rPr>
                      <w:rFonts w:hint="eastAsia" w:ascii="Times New Roman" w:hAnsi="Times New Roman" w:eastAsia="宋体" w:cs="Times New Roman"/>
                      <w:lang w:eastAsia="zh-CN"/>
                    </w:rPr>
                    <w:t>、实施对公司的适宜的法律法规更新</w:t>
                  </w:r>
                </w:p>
              </w:tc>
              <w:tc>
                <w:tcPr>
                  <w:tcW w:w="1717"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EBF1DE" w:themeFill="accent3" w:themeFillTint="32"/>
                    <w:rPr>
                      <w:rFonts w:hint="eastAsia" w:ascii="Times New Roman" w:hAnsi="Times New Roman" w:eastAsia="宋体" w:cs="Times New Roman"/>
                    </w:rPr>
                  </w:pPr>
                </w:p>
              </w:tc>
              <w:tc>
                <w:tcPr>
                  <w:tcW w:w="3226" w:type="dxa"/>
                </w:tcPr>
                <w:p>
                  <w:pPr>
                    <w:shd w:val="clear" w:color="auto" w:fill="EBF1DE" w:themeFill="accent3" w:themeFillTint="32"/>
                    <w:rPr>
                      <w:rFonts w:hint="eastAsia" w:ascii="Times New Roman" w:hAnsi="Times New Roman" w:eastAsia="宋体" w:cs="Times New Roman"/>
                    </w:rPr>
                  </w:pPr>
                </w:p>
              </w:tc>
              <w:tc>
                <w:tcPr>
                  <w:tcW w:w="1717" w:type="dxa"/>
                </w:tcPr>
                <w:p>
                  <w:pPr>
                    <w:shd w:val="clear" w:color="auto" w:fill="EBF1DE" w:themeFill="accent3" w:themeFillTint="32"/>
                    <w:rPr>
                      <w:rFonts w:hint="eastAsia" w:ascii="Times New Roman" w:hAnsi="Times New Roman" w:eastAsia="宋体" w:cs="Times New Roman"/>
                    </w:rPr>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w:t>
            </w:r>
            <w:r>
              <w:rPr>
                <w:rFonts w:hint="eastAsia"/>
              </w:rPr>
              <w:sym w:font="Wingdings 2" w:char="0052"/>
            </w:r>
            <w:r>
              <w:rPr>
                <w:rFonts w:hint="eastAsia"/>
              </w:rPr>
              <w:t>废水排放□废气排放□粉尘排放</w:t>
            </w:r>
            <w:r>
              <w:rPr>
                <w:rFonts w:hint="eastAsia"/>
              </w:rPr>
              <w:sym w:font="Wingdings 2" w:char="0052"/>
            </w:r>
            <w:r>
              <w:rPr>
                <w:rFonts w:hint="eastAsia"/>
                <w:lang w:val="en-US" w:eastAsia="zh-CN"/>
              </w:rPr>
              <w:t>固废</w:t>
            </w:r>
            <w:r>
              <w:rPr>
                <w:rFonts w:hint="eastAsia"/>
              </w:rPr>
              <w:t>排放□噪声排放□危化品泄露□压力容器爆炸□火灾□其他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w:t>
            </w:r>
            <w:r>
              <w:rPr>
                <w:rFonts w:hint="eastAsia"/>
              </w:rPr>
              <w:sym w:font="Wingdings 2" w:char="0052"/>
            </w:r>
            <w:r>
              <w:rPr>
                <w:rFonts w:hint="eastAsia"/>
              </w:rPr>
              <w:t>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Times New Roman" w:hAnsi="Times New Roman" w:eastAsia="宋体" w:cs="Times New Roman"/>
                      <w:color w:val="000000"/>
                      <w:szCs w:val="18"/>
                    </w:rPr>
                    <w:t>各类废弃物按规定处置率100%</w:t>
                  </w: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分类放置，定期处理</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行政部</w:t>
                  </w:r>
                </w:p>
              </w:tc>
              <w:tc>
                <w:tcPr>
                  <w:tcW w:w="1774" w:type="dxa"/>
                  <w:shd w:val="clear" w:color="auto" w:fill="auto"/>
                  <w:vAlign w:val="center"/>
                </w:tcPr>
                <w:p>
                  <w:pPr>
                    <w:shd w:val="clear" w:color="auto" w:fill="EBF1DE" w:themeFill="accent3" w:themeFillTint="32"/>
                    <w:jc w:val="center"/>
                    <w:rPr>
                      <w:rFonts w:ascii="宋体" w:hAnsi="宋体"/>
                      <w:lang w:val="en-GB"/>
                    </w:rPr>
                  </w:pPr>
                  <w:r>
                    <w:rPr>
                      <w:rFonts w:hint="eastAsia" w:ascii="Times New Roman" w:hAnsi="Times New Roman" w:eastAsia="宋体" w:cs="Times New Roman"/>
                      <w:color w:val="000000"/>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rPr>
            </w:pPr>
            <w:r>
              <w:rPr>
                <w:rFonts w:hint="eastAsia"/>
              </w:rPr>
              <w:t>建筑面积</w:t>
            </w:r>
            <w:r>
              <w:rPr>
                <w:rFonts w:hint="eastAsia"/>
                <w:lang w:val="en-US" w:eastAsia="zh-CN"/>
              </w:rPr>
              <w:t>340</w:t>
            </w:r>
            <w:r>
              <w:rPr>
                <w:rFonts w:hint="eastAsia"/>
              </w:rPr>
              <w:t>平方米；生产车间</w:t>
            </w:r>
            <w:r>
              <w:rPr>
                <w:rFonts w:hint="eastAsia"/>
                <w:lang w:val="en-US" w:eastAsia="zh-CN"/>
              </w:rPr>
              <w:t xml:space="preserve"> </w:t>
            </w:r>
            <w:r>
              <w:rPr>
                <w:rFonts w:hint="eastAsia"/>
              </w:rPr>
              <w:t>个；库房</w:t>
            </w:r>
            <w:r>
              <w:rPr>
                <w:rFonts w:hint="eastAsia"/>
                <w:lang w:val="en-US" w:eastAsia="zh-CN"/>
              </w:rPr>
              <w:t>1</w:t>
            </w:r>
            <w:r>
              <w:rPr>
                <w:rFonts w:hint="eastAsia"/>
              </w:rPr>
              <w:t>个；实验室个；</w:t>
            </w:r>
          </w:p>
          <w:p>
            <w:pPr>
              <w:shd w:val="clear" w:color="auto" w:fill="EBF1DE" w:themeFill="accent3" w:themeFillTint="32"/>
              <w:rPr>
                <w:rFonts w:hint="eastAsia"/>
              </w:rPr>
            </w:pPr>
            <w:r>
              <w:rPr>
                <w:rFonts w:hint="eastAsia"/>
              </w:rPr>
              <w:t>主要生产设备有：</w:t>
            </w:r>
            <w:r>
              <w:rPr>
                <w:rFonts w:hint="eastAsia"/>
                <w:lang w:val="en-US" w:eastAsia="zh-CN"/>
              </w:rPr>
              <w:t>电脑、打印机、传真机</w:t>
            </w:r>
            <w:r>
              <w:rPr>
                <w:rFonts w:hint="eastAsia"/>
              </w:rPr>
              <w:t>列（举2~4种）</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rPr>
                <w:rFonts w:hint="eastAsia" w:eastAsia="宋体"/>
                <w:lang w:eastAsia="zh-CN"/>
              </w:rPr>
            </w:pPr>
            <w:r>
              <w:rPr>
                <w:rFonts w:hint="eastAsia"/>
              </w:rPr>
              <w:t>□法律法规获取充分，</w:t>
            </w:r>
            <w:r>
              <w:rPr>
                <w:rFonts w:hint="eastAsia"/>
              </w:rPr>
              <w:sym w:font="Wingdings 2" w:char="0052"/>
            </w:r>
            <w:r>
              <w:rPr>
                <w:rFonts w:hint="eastAsia"/>
                <w:lang w:eastAsia="zh-CN"/>
              </w:rPr>
              <w:t>法律法规获取有遗漏，缺少：GB/T 11982.1-2015聚氯乙烯卷材地板 第1部分:非同质聚氯乙烯卷材地板、GB/T 11982.2-2015聚氯乙烯卷材地板 第2部分:同质聚氯乙烯卷材地板、GB/T 18103-2013实木复合地板等</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排入市政管网</w:t>
                  </w:r>
                </w:p>
              </w:tc>
              <w:tc>
                <w:tcPr>
                  <w:tcW w:w="3265"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hint="default" w:eastAsia="宋体"/>
                      <w:lang w:val="en-US" w:eastAsia="zh-CN"/>
                    </w:rPr>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default" w:eastAsia="宋体"/>
                      <w:lang w:val="en-US" w:eastAsia="zh-CN"/>
                    </w:rPr>
                  </w:pPr>
                </w:p>
              </w:tc>
              <w:tc>
                <w:tcPr>
                  <w:tcW w:w="3265" w:type="dxa"/>
                </w:tcPr>
                <w:p>
                  <w:pPr>
                    <w:shd w:val="clear" w:color="auto" w:fill="EBF1DE" w:themeFill="accent3" w:themeFillTint="32"/>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分类存放，处置公司及时处置</w:t>
                  </w:r>
                </w:p>
              </w:tc>
              <w:tc>
                <w:tcPr>
                  <w:tcW w:w="3265"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ascii="宋体" w:hAnsi="宋体"/>
                      <w:sz w:val="24"/>
                    </w:rPr>
                    <w:t>运行控制</w:t>
                  </w:r>
                </w:p>
              </w:tc>
              <w:tc>
                <w:tcPr>
                  <w:tcW w:w="3265"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A3"/>
            </w:r>
            <w:r>
              <w:rPr>
                <w:rFonts w:hint="eastAsia"/>
              </w:rPr>
              <w:t>最终处置</w:t>
            </w:r>
            <w:r>
              <w:rPr>
                <w:rFonts w:hint="eastAsia" w:ascii="Wingdings" w:hAnsi="Wingdings"/>
                <w:lang w:eastAsia="zh-CN"/>
              </w:rPr>
              <w:sym w:font="Wingdings 2" w:char="0052"/>
            </w:r>
            <w:r>
              <w:rPr>
                <w:rFonts w:hint="eastAsia"/>
              </w:rPr>
              <w:t>其他</w:t>
            </w:r>
            <w:r>
              <w:rPr>
                <w:rFonts w:hint="eastAsia"/>
                <w:lang w:val="en-US" w:eastAsia="zh-CN"/>
              </w:rPr>
              <w:t>-三包</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lang w:eastAsia="zh-CN"/>
              </w:rPr>
              <w:t>于2021年8月23日进行了的演练</w:t>
            </w:r>
            <w:r>
              <w:rPr>
                <w:rFonts w:hint="eastAsia"/>
              </w:rPr>
              <w:t>；并总结了预案的可行性和有效性。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eastAsia" w:eastAsia="宋体"/>
                <w:lang w:eastAsia="zh-CN"/>
              </w:rPr>
            </w:pPr>
            <w:r>
              <w:rPr>
                <w:rFonts w:hint="eastAsia" w:ascii="Wingdings" w:hAnsi="Wingdings"/>
                <w:lang w:eastAsia="zh-CN"/>
              </w:rPr>
              <w:sym w:font="Wingdings 2" w:char="0052"/>
            </w:r>
            <w:r>
              <w:rPr>
                <w:rFonts w:hint="eastAsia"/>
                <w:lang w:eastAsia="zh-CN"/>
              </w:rPr>
              <w:t>定期（每年）：2021年10月28日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w:t>
            </w:r>
            <w:r>
              <w:rPr>
                <w:rFonts w:hint="eastAsia"/>
                <w:lang w:eastAsia="zh-CN"/>
              </w:rPr>
              <w:t>年度策划于2021年10月25日-26日</w:t>
            </w:r>
            <w:r>
              <w:rPr>
                <w:rFonts w:hint="eastAsia"/>
              </w:rPr>
              <w:t>实施了环境管理体系内部审核，对环境管理体系的符合性和有效性进行了审核。</w:t>
            </w:r>
            <w:r>
              <w:rPr>
                <w:rFonts w:hint="eastAsia"/>
                <w:lang w:eastAsia="zh-CN"/>
              </w:rPr>
              <w:t>内审发现的1项</w:t>
            </w:r>
            <w:r>
              <w:rPr>
                <w:rFonts w:hint="eastAsia"/>
              </w:rPr>
              <w:t>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w:t>
            </w:r>
            <w:r>
              <w:rPr>
                <w:rFonts w:hint="eastAsia"/>
                <w:lang w:eastAsia="zh-CN"/>
              </w:rPr>
              <w:t>在2021年11月8日对组织的</w:t>
            </w:r>
            <w:r>
              <w:rPr>
                <w:rFonts w:hint="eastAsia"/>
              </w:rPr>
              <w:t>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p>
      <w:pPr>
        <w:pStyle w:val="2"/>
        <w:numPr>
          <w:numId w:val="0"/>
        </w:numPr>
        <w:ind w:leftChars="0"/>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lang w:eastAsia="zh-CN"/>
              </w:rPr>
            </w:pPr>
            <w:r>
              <w:rPr>
                <w:rFonts w:hint="eastAsia"/>
              </w:rPr>
              <w:t>最高管理者制定了文件化的职业健康安全</w:t>
            </w:r>
            <w:r>
              <w:rPr>
                <w:rFonts w:hint="eastAsia"/>
                <w:lang w:eastAsia="zh-CN"/>
              </w:rPr>
              <w:t>管理体系方针：营造绿色环境、提高环境意识；推进节能降耗、达到持续改进；关爱员工健康，防范安全风险；倡导以人为本，推进持续发展</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w:t>
            </w:r>
            <w:r>
              <w:rPr>
                <w:rFonts w:hint="eastAsia"/>
                <w:lang w:eastAsia="zh-CN"/>
              </w:rPr>
              <w:t>主管部门是——行政部</w:t>
            </w:r>
          </w:p>
          <w:p>
            <w:pPr>
              <w:rPr>
                <w:rFonts w:hint="eastAsia" w:eastAsia="宋体"/>
                <w:lang w:eastAsia="zh-CN"/>
              </w:rPr>
            </w:pPr>
            <w:r>
              <w:rPr>
                <w:rFonts w:hint="eastAsia"/>
              </w:rPr>
              <w:t>安全的</w:t>
            </w:r>
            <w:r>
              <w:rPr>
                <w:rFonts w:hint="eastAsia"/>
                <w:lang w:eastAsia="zh-CN"/>
              </w:rPr>
              <w:t>主管部门是——行政部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ascii="等线" w:hAnsi="等线" w:eastAsia="等线" w:cs="等线"/>
                <w:sz w:val="21"/>
                <w:szCs w:val="21"/>
                <w:lang w:val="en-US" w:eastAsia="zh-CN"/>
              </w:rPr>
              <w:t>丁振波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9"/>
              <w:gridCol w:w="322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rPr>
                      <w:rFonts w:hint="eastAsia" w:ascii="Times New Roman" w:hAnsi="Times New Roman" w:eastAsia="宋体" w:cs="Times New Roman"/>
                    </w:rPr>
                  </w:pPr>
                  <w:r>
                    <w:rPr>
                      <w:rFonts w:hint="eastAsia" w:ascii="Times New Roman" w:hAnsi="Times New Roman" w:eastAsia="宋体" w:cs="Times New Roman"/>
                    </w:rPr>
                    <w:t>主要的风险或机遇描述</w:t>
                  </w:r>
                </w:p>
              </w:tc>
              <w:tc>
                <w:tcPr>
                  <w:tcW w:w="3226" w:type="dxa"/>
                </w:tcPr>
                <w:p>
                  <w:pPr>
                    <w:rPr>
                      <w:rFonts w:hint="eastAsia" w:ascii="Times New Roman" w:hAnsi="Times New Roman" w:eastAsia="宋体" w:cs="Times New Roman"/>
                    </w:rPr>
                  </w:pPr>
                  <w:r>
                    <w:rPr>
                      <w:rFonts w:hint="eastAsia" w:ascii="Times New Roman" w:hAnsi="Times New Roman" w:eastAsia="宋体" w:cs="Times New Roman"/>
                    </w:rPr>
                    <w:t>应对措施</w:t>
                  </w:r>
                </w:p>
              </w:tc>
              <w:tc>
                <w:tcPr>
                  <w:tcW w:w="1717" w:type="dxa"/>
                </w:tcPr>
                <w:p>
                  <w:pPr>
                    <w:rPr>
                      <w:rFonts w:hint="eastAsia" w:ascii="Times New Roman" w:hAnsi="Times New Roman" w:eastAsia="宋体" w:cs="Times New Roman"/>
                    </w:rPr>
                  </w:pPr>
                  <w:r>
                    <w:rPr>
                      <w:rFonts w:hint="eastAsia" w:ascii="Times New Roman" w:hAnsi="Times New Roman" w:eastAsia="宋体" w:cs="Times New Roma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rPr>
                      <w:rFonts w:hint="eastAsia" w:ascii="Times New Roman" w:hAnsi="Times New Roman" w:eastAsia="宋体" w:cs="Times New Roman"/>
                    </w:rPr>
                  </w:pPr>
                  <w:r>
                    <w:rPr>
                      <w:rFonts w:hint="eastAsia" w:ascii="Times New Roman" w:hAnsi="Times New Roman" w:eastAsia="宋体" w:cs="Times New Roman"/>
                    </w:rPr>
                    <w:t>产品漏检，发给客户的产品缺少检测报告和说明书，造成客户不满意</w:t>
                  </w:r>
                </w:p>
              </w:tc>
              <w:tc>
                <w:tcPr>
                  <w:tcW w:w="3226" w:type="dxa"/>
                </w:tcPr>
                <w:p>
                  <w:pPr>
                    <w:rPr>
                      <w:rFonts w:hint="eastAsia" w:ascii="Times New Roman" w:hAnsi="Times New Roman" w:eastAsia="宋体" w:cs="Times New Roman"/>
                    </w:rPr>
                  </w:pPr>
                  <w:r>
                    <w:rPr>
                      <w:rFonts w:hint="eastAsia" w:ascii="Times New Roman" w:hAnsi="Times New Roman" w:eastAsia="宋体" w:cs="Times New Roman"/>
                    </w:rPr>
                    <w:t>加强产品检验，做到100%全检</w:t>
                  </w:r>
                </w:p>
              </w:tc>
              <w:tc>
                <w:tcPr>
                  <w:tcW w:w="1717" w:type="dxa"/>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rPr>
                      <w:rFonts w:hint="eastAsia" w:ascii="Times New Roman" w:hAnsi="Times New Roman" w:eastAsia="宋体" w:cs="Times New Roman"/>
                    </w:rPr>
                  </w:pPr>
                  <w:r>
                    <w:rPr>
                      <w:rFonts w:hint="eastAsia" w:ascii="Times New Roman" w:hAnsi="Times New Roman" w:eastAsia="宋体" w:cs="Times New Roman"/>
                    </w:rPr>
                    <w:t>没有及时获取政府管理部门与环境有关的公告、通知、提示等文件；</w:t>
                  </w:r>
                </w:p>
              </w:tc>
              <w:tc>
                <w:tcPr>
                  <w:tcW w:w="3226" w:type="dxa"/>
                </w:tcPr>
                <w:p>
                  <w:pPr>
                    <w:rPr>
                      <w:rFonts w:hint="eastAsia" w:ascii="Times New Roman" w:hAnsi="Times New Roman" w:eastAsia="宋体" w:cs="Times New Roman"/>
                    </w:rPr>
                  </w:pPr>
                  <w:r>
                    <w:rPr>
                      <w:rFonts w:hint="eastAsia" w:ascii="Times New Roman" w:hAnsi="Times New Roman" w:eastAsia="宋体" w:cs="Times New Roman"/>
                    </w:rPr>
                    <w:t>加强与相关的管理部门的联系，文件的管理</w:t>
                  </w:r>
                </w:p>
              </w:tc>
              <w:tc>
                <w:tcPr>
                  <w:tcW w:w="1717" w:type="dxa"/>
                </w:tcPr>
                <w:p>
                  <w:pPr>
                    <w:rPr>
                      <w:rFonts w:hint="eastAsia" w:ascii="Times New Roman" w:hAnsi="Times New Roman" w:eastAsia="宋体" w:cs="Times New Roma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rPr>
                      <w:rFonts w:hint="eastAsia" w:ascii="Times New Roman" w:hAnsi="Times New Roman" w:eastAsia="宋体" w:cs="Times New Roman"/>
                    </w:rPr>
                  </w:pPr>
                  <w:r>
                    <w:rPr>
                      <w:rFonts w:hint="eastAsia" w:ascii="Times New Roman" w:hAnsi="Times New Roman" w:eastAsia="宋体" w:cs="Times New Roman"/>
                    </w:rPr>
                    <w:t>法律法规收集不全；法律法规收集不及时；法律法规变化不了解。</w:t>
                  </w:r>
                </w:p>
              </w:tc>
              <w:tc>
                <w:tcPr>
                  <w:tcW w:w="3226" w:type="dxa"/>
                </w:tcPr>
                <w:p>
                  <w:pPr>
                    <w:rPr>
                      <w:rFonts w:hint="eastAsia" w:ascii="Times New Roman" w:hAnsi="Times New Roman" w:eastAsia="宋体" w:cs="Times New Roman"/>
                      <w:lang w:eastAsia="zh-CN"/>
                    </w:rPr>
                  </w:pPr>
                  <w:r>
                    <w:rPr>
                      <w:rFonts w:hint="eastAsia" w:ascii="Times New Roman" w:hAnsi="Times New Roman" w:eastAsia="宋体" w:cs="Times New Roman"/>
                    </w:rPr>
                    <w:t>建立对相关法律法规的更新信息的渠道</w:t>
                  </w:r>
                  <w:r>
                    <w:rPr>
                      <w:rFonts w:hint="eastAsia" w:ascii="Times New Roman" w:hAnsi="Times New Roman" w:eastAsia="宋体" w:cs="Times New Roman"/>
                      <w:lang w:eastAsia="zh-CN"/>
                    </w:rPr>
                    <w:t>、实施对公司的适宜的法律法规更新</w:t>
                  </w:r>
                </w:p>
              </w:tc>
              <w:tc>
                <w:tcPr>
                  <w:tcW w:w="1717" w:type="dxa"/>
                </w:tcPr>
                <w:p>
                  <w:pPr>
                    <w:rPr>
                      <w:rFonts w:hint="eastAsia" w:ascii="Times New Roman" w:hAnsi="Times New Roman" w:eastAsia="宋体" w:cs="Times New Roma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rPr>
                      <w:rFonts w:hint="eastAsia" w:ascii="Times New Roman" w:hAnsi="Times New Roman" w:eastAsia="宋体" w:cs="Times New Roman"/>
                    </w:rPr>
                  </w:pPr>
                </w:p>
              </w:tc>
              <w:tc>
                <w:tcPr>
                  <w:tcW w:w="3226" w:type="dxa"/>
                </w:tcPr>
                <w:p>
                  <w:pPr>
                    <w:rPr>
                      <w:rFonts w:hint="eastAsia" w:ascii="Times New Roman" w:hAnsi="Times New Roman" w:eastAsia="宋体" w:cs="Times New Roman"/>
                    </w:rPr>
                  </w:pPr>
                </w:p>
              </w:tc>
              <w:tc>
                <w:tcPr>
                  <w:tcW w:w="1717" w:type="dxa"/>
                </w:tcPr>
                <w:p>
                  <w:pPr>
                    <w:rPr>
                      <w:rFonts w:hint="eastAsia" w:ascii="Times New Roman" w:hAnsi="Times New Roman" w:eastAsia="宋体" w:cs="Times New Roman"/>
                    </w:rP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Times New Roman" w:hAnsi="Times New Roman" w:eastAsia="宋体" w:cs="Times New Roman"/>
                      <w:color w:val="000000"/>
                      <w:szCs w:val="18"/>
                    </w:rPr>
                    <w:t>重大安全事故为0</w:t>
                  </w:r>
                </w:p>
              </w:tc>
              <w:tc>
                <w:tcPr>
                  <w:tcW w:w="3136" w:type="dxa"/>
                  <w:shd w:val="clear" w:color="auto" w:fill="auto"/>
                  <w:vAlign w:val="center"/>
                </w:tcPr>
                <w:p>
                  <w:pPr>
                    <w:rPr>
                      <w:rFonts w:hint="default" w:eastAsia="宋体"/>
                      <w:lang w:val="en-US" w:eastAsia="zh-CN"/>
                    </w:rPr>
                  </w:pPr>
                  <w:r>
                    <w:rPr>
                      <w:rFonts w:hint="eastAsia"/>
                      <w:lang w:val="en-US" w:eastAsia="zh-CN"/>
                    </w:rPr>
                    <w:t>运行控制</w:t>
                  </w:r>
                </w:p>
              </w:tc>
              <w:tc>
                <w:tcPr>
                  <w:tcW w:w="1350" w:type="dxa"/>
                  <w:shd w:val="clear" w:color="auto" w:fill="auto"/>
                  <w:vAlign w:val="center"/>
                </w:tcPr>
                <w:p>
                  <w:pPr>
                    <w:rPr>
                      <w:rFonts w:hint="eastAsia" w:eastAsia="宋体"/>
                      <w:lang w:val="en-US" w:eastAsia="zh-CN"/>
                    </w:rPr>
                  </w:pPr>
                  <w:r>
                    <w:rPr>
                      <w:rFonts w:hint="eastAsia"/>
                      <w:lang w:val="en-US" w:eastAsia="zh-CN"/>
                    </w:rPr>
                    <w:t>行政部</w:t>
                  </w:r>
                </w:p>
              </w:tc>
              <w:tc>
                <w:tcPr>
                  <w:tcW w:w="1774" w:type="dxa"/>
                  <w:shd w:val="clear" w:color="auto" w:fill="auto"/>
                  <w:vAlign w:val="center"/>
                </w:tcPr>
                <w:p>
                  <w:pPr>
                    <w:jc w:val="center"/>
                    <w:rPr>
                      <w:rFonts w:hint="default"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191" w:type="dxa"/>
                  <w:shd w:val="clear" w:color="auto" w:fill="auto"/>
                </w:tcPr>
                <w:p>
                  <w:pPr>
                    <w:rPr>
                      <w:rFonts w:hint="default"/>
                      <w:lang w:val="en-US"/>
                    </w:rPr>
                  </w:pPr>
                  <w:r>
                    <w:rPr>
                      <w:rFonts w:hint="eastAsia"/>
                      <w:sz w:val="18"/>
                      <w:szCs w:val="18"/>
                      <w:lang w:val="en-US" w:eastAsia="zh-CN"/>
                    </w:rPr>
                    <w:t>潜在火灾0</w:t>
                  </w:r>
                </w:p>
              </w:tc>
              <w:tc>
                <w:tcPr>
                  <w:tcW w:w="3136" w:type="dxa"/>
                  <w:shd w:val="clear" w:color="auto" w:fill="auto"/>
                  <w:vAlign w:val="center"/>
                </w:tcPr>
                <w:p>
                  <w:pPr>
                    <w:rPr>
                      <w:rFonts w:ascii="宋体" w:hAnsi="宋体"/>
                    </w:rPr>
                  </w:pPr>
                  <w:r>
                    <w:rPr>
                      <w:rFonts w:hint="eastAsia"/>
                      <w:lang w:val="en-US" w:eastAsia="zh-CN"/>
                    </w:rPr>
                    <w:t>运行控制</w:t>
                  </w:r>
                </w:p>
              </w:tc>
              <w:tc>
                <w:tcPr>
                  <w:tcW w:w="1350" w:type="dxa"/>
                  <w:shd w:val="clear" w:color="auto" w:fill="auto"/>
                  <w:vAlign w:val="center"/>
                </w:tcPr>
                <w:p>
                  <w:pPr>
                    <w:rPr>
                      <w:rFonts w:ascii="宋体" w:hAnsi="宋体"/>
                    </w:rPr>
                  </w:pPr>
                  <w:r>
                    <w:rPr>
                      <w:rFonts w:hint="eastAsia"/>
                      <w:lang w:val="en-US" w:eastAsia="zh-CN"/>
                    </w:rPr>
                    <w:t>行政部</w:t>
                  </w:r>
                </w:p>
              </w:tc>
              <w:tc>
                <w:tcPr>
                  <w:tcW w:w="1774" w:type="dxa"/>
                  <w:shd w:val="clear" w:color="auto" w:fill="auto"/>
                  <w:vAlign w:val="center"/>
                </w:tcPr>
                <w:p>
                  <w:pPr>
                    <w:jc w:val="center"/>
                    <w:rPr>
                      <w:rFonts w:ascii="宋体" w:hAnsi="宋体"/>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rPr>
            </w:pPr>
            <w:r>
              <w:rPr>
                <w:rFonts w:hint="eastAsia"/>
              </w:rPr>
              <w:t>建筑面积</w:t>
            </w:r>
            <w:r>
              <w:rPr>
                <w:rFonts w:hint="eastAsia"/>
                <w:lang w:val="en-US" w:eastAsia="zh-CN"/>
              </w:rPr>
              <w:t>340</w:t>
            </w:r>
            <w:r>
              <w:rPr>
                <w:rFonts w:hint="eastAsia"/>
              </w:rPr>
              <w:t>平方米；生产车间</w:t>
            </w:r>
            <w:r>
              <w:rPr>
                <w:rFonts w:hint="eastAsia"/>
                <w:lang w:val="en-US" w:eastAsia="zh-CN"/>
              </w:rPr>
              <w:t xml:space="preserve"> </w:t>
            </w:r>
            <w:r>
              <w:rPr>
                <w:rFonts w:hint="eastAsia"/>
              </w:rPr>
              <w:t>个；库房</w:t>
            </w:r>
            <w:r>
              <w:rPr>
                <w:rFonts w:hint="eastAsia"/>
                <w:lang w:val="en-US" w:eastAsia="zh-CN"/>
              </w:rPr>
              <w:t>1</w:t>
            </w:r>
            <w:r>
              <w:rPr>
                <w:rFonts w:hint="eastAsia"/>
              </w:rPr>
              <w:t>个；实验室个；</w:t>
            </w:r>
          </w:p>
          <w:p>
            <w:pPr>
              <w:rPr>
                <w:rFonts w:hint="eastAsia"/>
              </w:rPr>
            </w:pPr>
            <w:r>
              <w:rPr>
                <w:rFonts w:hint="eastAsia"/>
              </w:rPr>
              <w:t>主要生产设备有：</w:t>
            </w:r>
            <w:r>
              <w:rPr>
                <w:rFonts w:hint="eastAsia"/>
                <w:lang w:val="en-US" w:eastAsia="zh-CN"/>
              </w:rPr>
              <w:t>电脑、打印机、传真机</w:t>
            </w:r>
            <w:r>
              <w:rPr>
                <w:rFonts w:hint="eastAsia"/>
              </w:rPr>
              <w:t>列（举2~4种）</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A3"/>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pPr>
              <w:rPr>
                <w:rFonts w:hint="eastAsia" w:eastAsia="宋体"/>
                <w:lang w:eastAsia="zh-CN"/>
              </w:rPr>
            </w:pPr>
            <w:r>
              <w:rPr>
                <w:rFonts w:hint="eastAsia"/>
              </w:rPr>
              <w:t>□法律法规获取充分，</w:t>
            </w:r>
            <w:r>
              <w:rPr>
                <w:rFonts w:hint="eastAsia"/>
              </w:rPr>
              <w:sym w:font="Wingdings 2" w:char="0052"/>
            </w:r>
            <w:r>
              <w:rPr>
                <w:rFonts w:hint="eastAsia"/>
                <w:lang w:eastAsia="zh-CN"/>
              </w:rPr>
              <w:t>法律法规获取有遗漏，缺少：GB/T 11982.1-2015聚氯乙烯卷材地板 第1部分:非同质聚氯乙烯卷材地板、GB/T 11982.2-2015聚氯乙烯卷材地板 第2部分:同质聚氯乙烯卷材地板、GB/T 18103-2013实木复合地板等</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w:t>
                  </w:r>
                  <w:r>
                    <w:rPr>
                      <w:rFonts w:hint="eastAsia"/>
                    </w:rPr>
                    <w:sym w:font="Wingdings 2" w:char="0052"/>
                  </w:r>
                  <w:r>
                    <w:rPr>
                      <w:rFonts w:hint="eastAsia"/>
                    </w:rPr>
                    <w:t>绝缘用具检测</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rPr>
                    <w:sym w:font="Wingdings 2" w:char="0052"/>
                  </w:r>
                  <w:r>
                    <w:rPr>
                      <w:rFonts w:hint="eastAsia"/>
                      <w:lang w:val="en-US" w:eastAsia="zh-CN"/>
                    </w:rPr>
                    <w:t>消防管控</w:t>
                  </w:r>
                  <w:r>
                    <w:rPr>
                      <w:rFonts w:hint="eastAsia"/>
                    </w:rPr>
                    <w:sym w:font="Wingdings 2" w:char="0052"/>
                  </w:r>
                  <w:r>
                    <w:rPr>
                      <w:rFonts w:hint="eastAsia"/>
                      <w:lang w:val="en-US" w:eastAsia="zh-CN"/>
                    </w:rPr>
                    <w:t>应急演练</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sym w:font="Wingdings 2" w:char="0052"/>
            </w:r>
            <w:r>
              <w:rPr>
                <w:rFonts w:hint="eastAsia"/>
              </w:rPr>
              <w:t>其他</w:t>
            </w:r>
            <w:r>
              <w:rPr>
                <w:rFonts w:hint="eastAsia"/>
                <w:lang w:val="en-US" w:eastAsia="zh-CN"/>
              </w:rPr>
              <w:t>-三包</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lang w:eastAsia="zh-CN"/>
              </w:rPr>
              <w:t>于2021年8月23日进行了的演练</w:t>
            </w:r>
            <w:r>
              <w:rPr>
                <w:rFonts w:hint="eastAsia"/>
              </w:rPr>
              <w:t>；并总结了预案的可行性和有效性。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eastAsia="宋体"/>
                <w:lang w:eastAsia="zh-CN"/>
              </w:rPr>
            </w:pPr>
            <w:r>
              <w:rPr>
                <w:rFonts w:hint="eastAsia" w:ascii="Wingdings" w:hAnsi="Wingdings"/>
                <w:lang w:eastAsia="zh-CN"/>
              </w:rPr>
              <w:sym w:font="Wingdings 2" w:char="0052"/>
            </w:r>
            <w:r>
              <w:rPr>
                <w:rFonts w:hint="eastAsia"/>
                <w:lang w:eastAsia="zh-CN"/>
              </w:rPr>
              <w:t>定期（每年）：2021年10月28日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w:t>
            </w:r>
            <w:r>
              <w:rPr>
                <w:rFonts w:hint="eastAsia"/>
                <w:lang w:eastAsia="zh-CN"/>
              </w:rPr>
              <w:t>年度策划于2021年10月25日-26日</w:t>
            </w:r>
            <w:r>
              <w:rPr>
                <w:rFonts w:hint="eastAsia"/>
              </w:rPr>
              <w:t>实施了职业健康安全管理体系内部审核，对职业健康安全管理体系的符合性和有效性进行了审核。</w:t>
            </w:r>
            <w:r>
              <w:rPr>
                <w:rFonts w:hint="eastAsia"/>
                <w:lang w:eastAsia="zh-CN"/>
              </w:rPr>
              <w:t>内审发现的1项</w:t>
            </w:r>
            <w:r>
              <w:rPr>
                <w:rFonts w:hint="eastAsia"/>
              </w:rPr>
              <w:t>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w:t>
            </w:r>
            <w:r>
              <w:rPr>
                <w:rFonts w:hint="eastAsia"/>
                <w:lang w:eastAsia="zh-CN"/>
              </w:rPr>
              <w:t>在2021年11月8日对组织的</w:t>
            </w:r>
            <w:r>
              <w:rPr>
                <w:rFonts w:hint="eastAsia"/>
              </w:rPr>
              <w:t>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sym w:font="Wingdings 2" w:char="0052"/>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3</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34" w:name="_GoBack"/>
            <w:bookmarkEnd w:id="34"/>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C590080"/>
    <w:rsid w:val="347772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312" w:lineRule="auto"/>
    </w:pPr>
    <w:rPr>
      <w:rFonts w:ascii="Arial" w:hAnsi="Arial" w:eastAsia="楷体_GB2312"/>
      <w:spacing w:val="20"/>
      <w:sz w:val="24"/>
      <w:szCs w:val="20"/>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春华秋实</cp:lastModifiedBy>
  <cp:lastPrinted>2019-05-13T03:19:00Z</cp:lastPrinted>
  <dcterms:modified xsi:type="dcterms:W3CDTF">2021-12-10T06:54:39Z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2052-11.1.0.11115</vt:lpwstr>
  </property>
</Properties>
</file>