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W w:w="103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592"/>
        <w:gridCol w:w="426"/>
        <w:gridCol w:w="294"/>
        <w:gridCol w:w="680"/>
        <w:gridCol w:w="100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三门新华劳务派遣有限公司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三门县海游街道青春巷45号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浙江省台州市三门县海游街道梧桐路20号一楼、二楼（承包三门县新大华酒店）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谢声华</w:t>
            </w:r>
            <w:bookmarkEnd w:id="2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手机"/>
            <w:r>
              <w:rPr>
                <w:sz w:val="21"/>
                <w:szCs w:val="21"/>
              </w:rPr>
              <w:t>13905861899</w:t>
            </w:r>
            <w:bookmarkEnd w:id="3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4" w:name="最高管理者"/>
            <w:bookmarkEnd w:id="4"/>
            <w:r>
              <w:rPr>
                <w:sz w:val="21"/>
                <w:szCs w:val="21"/>
              </w:rPr>
              <w:t>谢声华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总经理）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5" w:name="管代电话"/>
            <w:bookmarkEnd w:id="5"/>
            <w:r>
              <w:rPr>
                <w:sz w:val="21"/>
                <w:szCs w:val="21"/>
              </w:rPr>
              <w:t>13905861899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103055919@qq.com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bookmarkStart w:id="7" w:name="合同编号"/>
            <w:r>
              <w:rPr>
                <w:sz w:val="20"/>
              </w:rPr>
              <w:t>0547-2020-Q-2021</w:t>
            </w:r>
            <w:bookmarkEnd w:id="7"/>
            <w:r>
              <w:rPr>
                <w:rFonts w:hint="eastAsia"/>
                <w:sz w:val="20"/>
                <w:lang w:val="en-US" w:eastAsia="zh-CN"/>
              </w:rPr>
              <w:t>/</w:t>
            </w:r>
            <w:r>
              <w:rPr>
                <w:sz w:val="21"/>
                <w:szCs w:val="21"/>
              </w:rPr>
              <w:t>1247-2021-EOF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8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9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1" w:name="F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2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3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 xml:space="preserve">QEO）  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监督审核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F）</w:t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A3"/>
            </w:r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现场审核   </w:t>
            </w: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数据共享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hint="eastAsia" w:ascii="宋体" w:hAnsi="宋体"/>
                <w:b/>
                <w:bCs/>
                <w:sz w:val="20"/>
                <w:szCs w:val="22"/>
              </w:rPr>
            </w:pPr>
            <w:bookmarkStart w:id="16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val="en-US" w:eastAsia="zh-CN"/>
              </w:rPr>
              <w:t>(EFO)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：验证组织管理体系的建立、实施运行的符合性及有效性，以确定是否推荐认证注册。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val="en-US" w:eastAsia="zh-CN"/>
              </w:rPr>
              <w:t>监督审核(Q)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：评价组织管理体系的持续符合性和有效性，以确定是否推荐保持认证证书。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7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19" w:name="审核范围"/>
            <w:r>
              <w:rPr>
                <w:sz w:val="20"/>
              </w:rPr>
              <w:t>Q：餐饮管理服务（热食类食品制售）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E：餐饮管理服务（热食类食品制售）所涉及场所的相关环境管理活动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O：餐饮管理服务（热食类食品制售）所涉及场所的相关职业健康安全管理活动</w:t>
            </w:r>
          </w:p>
          <w:bookmarkEnd w:id="19"/>
          <w:p>
            <w:pPr>
              <w:rPr>
                <w:sz w:val="20"/>
              </w:rPr>
            </w:pPr>
            <w:r>
              <w:rPr>
                <w:sz w:val="21"/>
                <w:szCs w:val="21"/>
                <w:highlight w:val="none"/>
              </w:rPr>
              <w:t>F：位于</w:t>
            </w:r>
            <w:bookmarkStart w:id="30" w:name="_GoBack"/>
            <w:bookmarkEnd w:id="30"/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浙江省台州市</w:t>
            </w:r>
            <w:r>
              <w:rPr>
                <w:sz w:val="21"/>
                <w:szCs w:val="21"/>
                <w:highlight w:val="none"/>
              </w:rPr>
              <w:t>三门县海游街道梧桐路20号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三门县</w:t>
            </w:r>
            <w:r>
              <w:rPr>
                <w:sz w:val="21"/>
                <w:szCs w:val="21"/>
                <w:highlight w:val="none"/>
              </w:rPr>
              <w:t>新大华酒店二楼的餐饮管理服务（热食类食品制售）</w:t>
            </w:r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0" w:name="专业代码"/>
            <w:r>
              <w:rPr>
                <w:sz w:val="20"/>
              </w:rPr>
              <w:t>Q：30.05.00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E：30.05.00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O：30.05.00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F：E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bookmarkStart w:id="21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2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3" w:name="E勾选Add1"/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bookmarkStart w:id="24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5" w:name="F勾选Add1"/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7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</w:t>
            </w:r>
            <w:r>
              <w:rPr>
                <w:rFonts w:hint="eastAsia"/>
                <w:b/>
                <w:sz w:val="20"/>
                <w:lang w:val="en-US" w:eastAsia="zh-CN"/>
              </w:rPr>
              <w:t>+远程</w:t>
            </w:r>
            <w:r>
              <w:rPr>
                <w:rFonts w:hint="eastAsia"/>
                <w:b/>
                <w:sz w:val="20"/>
              </w:rPr>
              <w:t>审核于</w:t>
            </w:r>
            <w:bookmarkStart w:id="28" w:name="审核日期"/>
            <w:r>
              <w:rPr>
                <w:rFonts w:hint="eastAsia"/>
                <w:b/>
                <w:sz w:val="20"/>
              </w:rPr>
              <w:t>2021年12月11日 上午</w:t>
            </w:r>
            <w:r>
              <w:rPr>
                <w:rFonts w:hint="eastAsia"/>
                <w:b/>
                <w:sz w:val="20"/>
                <w:lang w:val="en-US" w:eastAsia="zh-CN"/>
              </w:rPr>
              <w:t>9:00</w:t>
            </w:r>
            <w:r>
              <w:rPr>
                <w:rFonts w:hint="eastAsia"/>
                <w:b/>
                <w:sz w:val="20"/>
              </w:rPr>
              <w:t>至2021年12月13日 上午</w:t>
            </w:r>
            <w:bookmarkEnd w:id="28"/>
            <w:r>
              <w:rPr>
                <w:rFonts w:hint="eastAsia"/>
                <w:b/>
                <w:sz w:val="20"/>
                <w:lang w:val="en-US" w:eastAsia="zh-CN"/>
              </w:rPr>
              <w:t xml:space="preserve">12:30 </w:t>
            </w:r>
            <w:r>
              <w:rPr>
                <w:rFonts w:hint="eastAsia"/>
                <w:b/>
                <w:sz w:val="20"/>
              </w:rPr>
              <w:t>(共</w:t>
            </w:r>
            <w:bookmarkStart w:id="29" w:name="审核天数"/>
            <w:r>
              <w:rPr>
                <w:rFonts w:hint="eastAsia"/>
                <w:b/>
                <w:sz w:val="20"/>
              </w:rPr>
              <w:t>2.5</w:t>
            </w:r>
            <w:bookmarkEnd w:id="29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00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49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EO）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  <w:lang w:val="de-DE"/>
              </w:rPr>
              <w:t>林兵</w:t>
            </w:r>
            <w:r>
              <w:rPr>
                <w:rFonts w:hint="eastAsia"/>
                <w:sz w:val="20"/>
                <w:lang w:val="en-US" w:eastAsia="zh-CN"/>
              </w:rPr>
              <w:t>-A（远程）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2019-N1QMS-4059501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2020-N1EMS-3059501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2019-N1OHSMS-2059501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</w:p>
        </w:tc>
        <w:tc>
          <w:tcPr>
            <w:tcW w:w="1500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13588800890</w:t>
            </w:r>
          </w:p>
        </w:tc>
        <w:tc>
          <w:tcPr>
            <w:tcW w:w="1349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rFonts w:hint="eastAsia" w:cs="Times New Roman"/>
                <w:kern w:val="2"/>
                <w:sz w:val="20"/>
                <w:lang w:val="de-DE" w:eastAsia="zh-CN" w:bidi="ar-SA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QF）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肖新龙</w:t>
            </w:r>
            <w:r>
              <w:rPr>
                <w:rFonts w:hint="eastAsia"/>
                <w:sz w:val="20"/>
                <w:lang w:val="en-US" w:eastAsia="zh-CN"/>
              </w:rPr>
              <w:t>-B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2020-N1QMS-1232380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2021-N1EMS-1232380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2021-N0OHSMS-1232380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2020-N1FSMS-1232380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Q:30.05.00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E:30.05.00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O:30.05.00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F:E</w:t>
            </w:r>
          </w:p>
        </w:tc>
        <w:tc>
          <w:tcPr>
            <w:tcW w:w="1500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18006317769</w:t>
            </w:r>
          </w:p>
        </w:tc>
        <w:tc>
          <w:tcPr>
            <w:tcW w:w="1349" w:type="dxa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见证陈权F晋级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任泽华</w:t>
            </w:r>
            <w:r>
              <w:rPr>
                <w:rFonts w:hint="eastAsia"/>
                <w:sz w:val="20"/>
                <w:lang w:val="en-US" w:eastAsia="zh-CN"/>
              </w:rPr>
              <w:t>-C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2019-N1QMS-3059498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2021-N1EMS-3059498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2020-N1FSMS-3059498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Q:30.05.00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E:30.05.00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F:E</w:t>
            </w:r>
          </w:p>
        </w:tc>
        <w:tc>
          <w:tcPr>
            <w:tcW w:w="1500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13173653732</w:t>
            </w:r>
          </w:p>
        </w:tc>
        <w:tc>
          <w:tcPr>
            <w:tcW w:w="1349" w:type="dxa"/>
            <w:vAlign w:val="center"/>
          </w:tcPr>
          <w:p>
            <w:pPr>
              <w:rPr>
                <w:rFonts w:hint="eastAsia" w:eastAsia="宋体"/>
                <w:sz w:val="20"/>
                <w:lang w:val="de-DE" w:eastAsia="zh-CN"/>
              </w:rPr>
            </w:pPr>
            <w:r>
              <w:rPr>
                <w:rFonts w:hint="eastAsia"/>
                <w:sz w:val="20"/>
                <w:lang w:val="de-DE"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陈权</w:t>
            </w:r>
            <w:r>
              <w:rPr>
                <w:rFonts w:hint="eastAsia"/>
                <w:sz w:val="20"/>
                <w:lang w:val="en-US" w:eastAsia="zh-CN"/>
              </w:rPr>
              <w:t>-D（远程）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2019-N0QMS-1237169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2021-N0FSMS-1237169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500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13336722672</w:t>
            </w:r>
          </w:p>
        </w:tc>
        <w:tc>
          <w:tcPr>
            <w:tcW w:w="1349" w:type="dxa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被肖新龙见证F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50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52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00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4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4"/>
            <w:vAlign w:val="center"/>
          </w:tcPr>
          <w:p/>
        </w:tc>
        <w:tc>
          <w:tcPr>
            <w:tcW w:w="134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26" w:type="dxa"/>
            <w:gridSpan w:val="2"/>
            <w:vAlign w:val="center"/>
          </w:tcPr>
          <w:p/>
        </w:tc>
        <w:tc>
          <w:tcPr>
            <w:tcW w:w="1500" w:type="dxa"/>
            <w:gridSpan w:val="4"/>
            <w:vAlign w:val="center"/>
          </w:tcPr>
          <w:p/>
        </w:tc>
        <w:tc>
          <w:tcPr>
            <w:tcW w:w="134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林兵EO肖新龙QF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92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49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林兵：</w:t>
            </w:r>
            <w:r>
              <w:rPr>
                <w:sz w:val="20"/>
                <w:lang w:val="de-DE"/>
              </w:rPr>
              <w:t>13588800890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肖新龙：</w:t>
            </w:r>
            <w:r>
              <w:rPr>
                <w:rFonts w:hint="eastAsia"/>
                <w:sz w:val="20"/>
                <w:lang w:val="en-US" w:eastAsia="zh-CN"/>
              </w:rPr>
              <w:t>18006317769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92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49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2021-12-10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92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4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2"/>
      </w:pPr>
    </w:p>
    <w:p>
      <w:pPr>
        <w:pStyle w:val="2"/>
      </w:pPr>
    </w:p>
    <w:tbl>
      <w:tblPr>
        <w:tblStyle w:val="6"/>
        <w:tblW w:w="10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349"/>
        <w:gridCol w:w="694"/>
        <w:gridCol w:w="3754"/>
        <w:gridCol w:w="2469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475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>审核日程安排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（远程+现场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日期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时间</w:t>
            </w:r>
          </w:p>
        </w:tc>
        <w:tc>
          <w:tcPr>
            <w:tcW w:w="694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部门</w:t>
            </w:r>
          </w:p>
        </w:tc>
        <w:tc>
          <w:tcPr>
            <w:tcW w:w="3754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过程</w:t>
            </w:r>
          </w:p>
        </w:tc>
        <w:tc>
          <w:tcPr>
            <w:tcW w:w="246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涉及条款</w:t>
            </w:r>
          </w:p>
        </w:tc>
        <w:tc>
          <w:tcPr>
            <w:tcW w:w="1230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979" w:type="dxa"/>
            <w:vMerge w:val="restart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2021-12-11全天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第一天</w:t>
            </w:r>
          </w:p>
        </w:tc>
        <w:tc>
          <w:tcPr>
            <w:tcW w:w="694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754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30" w:type="dxa"/>
            <w:tcBorders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ABCD（AD远程）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9:00-9:30</w:t>
            </w:r>
          </w:p>
        </w:tc>
        <w:tc>
          <w:tcPr>
            <w:tcW w:w="694" w:type="dxa"/>
            <w:shd w:val="clear" w:color="auto" w:fill="auto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3754" w:type="dxa"/>
            <w:shd w:val="clear" w:color="auto" w:fill="auto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首次会议</w:t>
            </w:r>
          </w:p>
        </w:tc>
        <w:tc>
          <w:tcPr>
            <w:tcW w:w="2469" w:type="dxa"/>
            <w:shd w:val="clear" w:color="auto" w:fill="auto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1230" w:type="dxa"/>
            <w:tcBorders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napToGrid w:val="0"/>
              <w:spacing w:line="320" w:lineRule="exact"/>
              <w:rPr>
                <w:rFonts w:hint="eastAsia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color w:val="auto"/>
                <w:sz w:val="18"/>
                <w:szCs w:val="18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1349" w:type="dxa"/>
            <w:vMerge w:val="restart"/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9:30-12:30</w:t>
            </w:r>
          </w:p>
          <w:p>
            <w:pPr>
              <w:snapToGrid w:val="0"/>
              <w:spacing w:line="320" w:lineRule="exact"/>
              <w:rPr>
                <w:rFonts w:hint="default" w:eastAsia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694" w:type="dxa"/>
            <w:shd w:val="clear" w:color="auto" w:fill="auto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领导层</w:t>
            </w:r>
          </w:p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  <w:p>
            <w:pPr>
              <w:pStyle w:val="2"/>
              <w:rPr>
                <w:sz w:val="18"/>
                <w:szCs w:val="18"/>
              </w:rPr>
            </w:pPr>
          </w:p>
          <w:p>
            <w:pPr>
              <w:pStyle w:val="2"/>
            </w:pPr>
          </w:p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财务部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/>
                <w:color w:val="auto"/>
                <w:sz w:val="18"/>
                <w:szCs w:val="18"/>
              </w:rPr>
              <w:t>员工代表</w:t>
            </w:r>
          </w:p>
        </w:tc>
        <w:tc>
          <w:tcPr>
            <w:tcW w:w="3754" w:type="dxa"/>
            <w:shd w:val="clear" w:color="auto" w:fill="auto"/>
          </w:tcPr>
          <w:p>
            <w:pPr>
              <w:tabs>
                <w:tab w:val="left" w:pos="709"/>
              </w:tabs>
              <w:ind w:right="57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（内外部因素、相关方的需求和期望、风险和机遇的控制、体系策划过程、管理承诺相关过程、资源提供过程、管理评审过程、产品实现策划、顾客投诉处理、监视和测量规划和持续改进等）</w:t>
            </w:r>
          </w:p>
          <w:p>
            <w:pPr>
              <w:tabs>
                <w:tab w:val="left" w:pos="709"/>
              </w:tabs>
              <w:ind w:right="57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对一阶段问题整改情况的确认；事故事件及起处理情况，质量、环境安全监测情况、使用情况等</w:t>
            </w:r>
          </w:p>
          <w:p>
            <w:pPr>
              <w:spacing w:line="300" w:lineRule="exact"/>
              <w:rPr>
                <w:rFonts w:hint="default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color w:val="auto"/>
                <w:sz w:val="18"/>
                <w:szCs w:val="18"/>
              </w:rPr>
              <w:t>总要求、认证范围、过程方法、方针和目标，资源管理、领导作用、岗位和职责、目标管理、内外部沟通、持续改进的机制、重大投诉处理、重大体系事故和变更管理、应急准备和响应，顾客反馈、产品召回、行业抽查情况、持续改进、管理评审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Q的证书使用情况、Q的初审不符合项情况验证等</w:t>
            </w:r>
          </w:p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资源提供</w:t>
            </w:r>
          </w:p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健康安全事务参与情况，</w:t>
            </w:r>
            <w:r>
              <w:rPr>
                <w:color w:val="auto"/>
                <w:sz w:val="18"/>
                <w:szCs w:val="18"/>
              </w:rPr>
              <w:t>事故调查</w:t>
            </w:r>
            <w:r>
              <w:rPr>
                <w:rFonts w:hint="eastAsia"/>
                <w:color w:val="auto"/>
                <w:sz w:val="18"/>
                <w:szCs w:val="18"/>
              </w:rPr>
              <w:t>/</w:t>
            </w:r>
            <w:r>
              <w:rPr>
                <w:color w:val="auto"/>
                <w:sz w:val="18"/>
                <w:szCs w:val="18"/>
              </w:rPr>
              <w:t>沟通</w:t>
            </w:r>
          </w:p>
        </w:tc>
        <w:tc>
          <w:tcPr>
            <w:tcW w:w="2469" w:type="dxa"/>
            <w:shd w:val="clear" w:color="auto" w:fill="auto"/>
          </w:tcPr>
          <w:p>
            <w:pPr>
              <w:tabs>
                <w:tab w:val="left" w:pos="709"/>
              </w:tabs>
              <w:ind w:right="57"/>
              <w:jc w:val="lef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QMS：4.1/ 4.2 /4.3/ 4.4/ 5.1/5.2/5.3/6.1/6.2/6.3/7.1.1/9.1.1</w:t>
            </w:r>
            <w:r>
              <w:rPr>
                <w:rFonts w:hint="eastAsia"/>
                <w:color w:val="auto"/>
                <w:sz w:val="18"/>
                <w:szCs w:val="18"/>
              </w:rPr>
              <w:t>/</w:t>
            </w:r>
            <w:r>
              <w:rPr>
                <w:color w:val="auto"/>
                <w:sz w:val="18"/>
                <w:szCs w:val="18"/>
              </w:rPr>
              <w:t>9.3</w:t>
            </w:r>
            <w:r>
              <w:rPr>
                <w:rFonts w:hint="eastAsia"/>
                <w:color w:val="auto"/>
                <w:sz w:val="18"/>
                <w:szCs w:val="18"/>
              </w:rPr>
              <w:t>/</w:t>
            </w:r>
            <w:r>
              <w:rPr>
                <w:color w:val="auto"/>
                <w:sz w:val="18"/>
                <w:szCs w:val="18"/>
              </w:rPr>
              <w:t>10.1/10.3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EMS：4.1/ 4.2 /4.3/ 4.4 /5.1 5.2/ 5.3/ 6.1/ 6.2/ 7.1/ 7.4/ 9.3/10.1/10.3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OHS：4.1 /4.2/ 4.3 /4.4/ 5.1 5.2 /5.3/ 6.1/ 6.2/7.1/7.4</w:t>
            </w:r>
            <w:r>
              <w:rPr>
                <w:rFonts w:hint="eastAsia"/>
                <w:color w:val="auto"/>
                <w:sz w:val="18"/>
                <w:szCs w:val="18"/>
              </w:rPr>
              <w:t>/</w:t>
            </w:r>
            <w:r>
              <w:rPr>
                <w:color w:val="auto"/>
                <w:sz w:val="18"/>
                <w:szCs w:val="18"/>
              </w:rPr>
              <w:t>9.3/ 10.1/10.3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FSMS：</w:t>
            </w:r>
            <w:r>
              <w:rPr>
                <w:rFonts w:hint="eastAsia"/>
                <w:color w:val="auto"/>
                <w:sz w:val="18"/>
                <w:szCs w:val="18"/>
              </w:rPr>
              <w:t>4</w:t>
            </w:r>
            <w:r>
              <w:rPr>
                <w:color w:val="auto"/>
                <w:sz w:val="18"/>
                <w:szCs w:val="18"/>
              </w:rPr>
              <w:t>.1/4.2/4.3/4.4/5.1 /5.2/5.3/6.1/6.2/6.3/7.1.1/7.4/9.1.1/9.3/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10.1/</w:t>
            </w:r>
            <w:r>
              <w:rPr>
                <w:color w:val="auto"/>
                <w:sz w:val="18"/>
                <w:szCs w:val="18"/>
              </w:rPr>
              <w:t>10.3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color w:val="auto"/>
                <w:sz w:val="18"/>
                <w:szCs w:val="18"/>
              </w:rPr>
            </w:pPr>
          </w:p>
          <w:p>
            <w:pPr>
              <w:tabs>
                <w:tab w:val="left" w:pos="709"/>
              </w:tabs>
              <w:ind w:right="57"/>
              <w:jc w:val="left"/>
              <w:rPr>
                <w:color w:val="auto"/>
                <w:sz w:val="18"/>
                <w:szCs w:val="18"/>
              </w:rPr>
            </w:pPr>
          </w:p>
          <w:p>
            <w:pPr>
              <w:pStyle w:val="2"/>
              <w:rPr>
                <w:color w:val="auto"/>
                <w:sz w:val="18"/>
                <w:szCs w:val="18"/>
              </w:rPr>
            </w:pPr>
          </w:p>
          <w:p>
            <w:pPr>
              <w:tabs>
                <w:tab w:val="left" w:pos="709"/>
              </w:tabs>
              <w:ind w:right="57"/>
              <w:jc w:val="lef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OHS: 5.4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/>
                <w:color w:val="auto"/>
                <w:sz w:val="18"/>
                <w:szCs w:val="18"/>
              </w:rPr>
              <w:t>8.1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/>
                <w:color w:val="auto"/>
                <w:sz w:val="18"/>
                <w:szCs w:val="18"/>
              </w:rPr>
              <w:t>8.2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/>
                <w:color w:val="auto"/>
                <w:sz w:val="18"/>
                <w:szCs w:val="18"/>
              </w:rPr>
              <w:t>10.2</w:t>
            </w:r>
          </w:p>
        </w:tc>
        <w:tc>
          <w:tcPr>
            <w:tcW w:w="1230" w:type="dxa"/>
            <w:tcBorders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napToGrid w:val="0"/>
              <w:spacing w:line="32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A</w:t>
            </w:r>
            <w:r>
              <w:rPr>
                <w:color w:val="auto"/>
                <w:sz w:val="18"/>
                <w:szCs w:val="18"/>
              </w:rPr>
              <w:t>:EO</w:t>
            </w:r>
          </w:p>
          <w:p>
            <w:pPr>
              <w:pStyle w:val="2"/>
              <w:rPr>
                <w:rFonts w:hint="default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C：Q</w:t>
            </w:r>
          </w:p>
          <w:p>
            <w:pPr>
              <w:snapToGrid w:val="0"/>
              <w:spacing w:line="320" w:lineRule="exac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B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D</w:t>
            </w:r>
            <w:r>
              <w:rPr>
                <w:color w:val="auto"/>
                <w:sz w:val="18"/>
                <w:szCs w:val="18"/>
              </w:rPr>
              <w:t>:F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1349" w:type="dxa"/>
            <w:vMerge w:val="continue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eastAsia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694" w:type="dxa"/>
            <w:shd w:val="clear" w:color="auto" w:fill="auto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kern w:val="10"/>
                <w:sz w:val="18"/>
                <w:szCs w:val="18"/>
                <w:lang w:val="en-US" w:eastAsia="zh-CN"/>
              </w:rPr>
              <w:t>食品安全</w:t>
            </w:r>
            <w:r>
              <w:rPr>
                <w:color w:val="auto"/>
                <w:spacing w:val="40"/>
                <w:kern w:val="10"/>
                <w:sz w:val="18"/>
                <w:szCs w:val="18"/>
              </w:rPr>
              <w:t>小组</w:t>
            </w:r>
          </w:p>
        </w:tc>
        <w:tc>
          <w:tcPr>
            <w:tcW w:w="3754" w:type="dxa"/>
            <w:shd w:val="clear" w:color="auto" w:fill="auto"/>
          </w:tcPr>
          <w:p>
            <w:pPr>
              <w:tabs>
                <w:tab w:val="left" w:pos="709"/>
              </w:tabs>
              <w:ind w:right="57"/>
              <w:rPr>
                <w:rFonts w:hint="eastAsia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color w:val="auto"/>
                <w:sz w:val="18"/>
                <w:szCs w:val="18"/>
              </w:rPr>
              <w:t>食品安全小组及职责、前提方案、实施危害分析的预备步骤、危害分析、操作性前提方案(PRPs)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及</w:t>
            </w:r>
            <w:r>
              <w:rPr>
                <w:color w:val="auto"/>
                <w:sz w:val="18"/>
                <w:szCs w:val="18"/>
              </w:rPr>
              <w:t>HACCP计划的建立、预备信息的更新、规定前提方案和HACCP计划文件的更新、验证策划、标识和可追溯性系统/计划、控制措施组合的确认、食品安全管理体系的验证及结果分析、产品撤回/召回、应急预案；</w:t>
            </w:r>
          </w:p>
        </w:tc>
        <w:tc>
          <w:tcPr>
            <w:tcW w:w="246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F:</w:t>
            </w:r>
            <w:r>
              <w:rPr>
                <w:rFonts w:hint="eastAsia"/>
                <w:color w:val="auto"/>
                <w:sz w:val="18"/>
                <w:szCs w:val="18"/>
              </w:rPr>
              <w:t>5</w:t>
            </w:r>
            <w:r>
              <w:rPr>
                <w:color w:val="auto"/>
                <w:sz w:val="18"/>
                <w:szCs w:val="18"/>
              </w:rPr>
              <w:t>.3/</w:t>
            </w:r>
            <w:r>
              <w:rPr>
                <w:rFonts w:hint="eastAsia"/>
                <w:color w:val="auto"/>
                <w:sz w:val="18"/>
                <w:szCs w:val="18"/>
              </w:rPr>
              <w:t>7.1.5/</w:t>
            </w:r>
            <w:r>
              <w:rPr>
                <w:color w:val="auto"/>
                <w:sz w:val="18"/>
                <w:szCs w:val="18"/>
              </w:rPr>
              <w:t>8.1/8.2/8.3/8.4</w:t>
            </w:r>
          </w:p>
          <w:p>
            <w:pPr>
              <w:autoSpaceDE w:val="0"/>
              <w:autoSpaceDN w:val="0"/>
              <w:adjustRightInd w:val="0"/>
              <w:ind w:firstLine="180" w:firstLineChars="100"/>
              <w:jc w:val="lef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/8.5/8.6/8.8</w:t>
            </w:r>
          </w:p>
          <w:p>
            <w:pPr>
              <w:spacing w:line="300" w:lineRule="exact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230" w:type="dxa"/>
            <w:tcBorders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napToGrid w:val="0"/>
              <w:spacing w:line="320" w:lineRule="exact"/>
              <w:rPr>
                <w:rFonts w:hint="default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BD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12:30-13:00</w:t>
            </w:r>
          </w:p>
        </w:tc>
        <w:tc>
          <w:tcPr>
            <w:tcW w:w="694" w:type="dxa"/>
            <w:shd w:val="clear" w:color="auto" w:fill="auto"/>
          </w:tcPr>
          <w:p>
            <w:pPr>
              <w:spacing w:line="300" w:lineRule="exact"/>
              <w:rPr>
                <w:rFonts w:hint="eastAsia"/>
                <w:color w:val="auto"/>
                <w:kern w:val="10"/>
                <w:sz w:val="18"/>
                <w:szCs w:val="18"/>
                <w:lang w:val="en-US" w:eastAsia="zh-CN"/>
              </w:rPr>
            </w:pPr>
          </w:p>
        </w:tc>
        <w:tc>
          <w:tcPr>
            <w:tcW w:w="3754" w:type="dxa"/>
            <w:shd w:val="clear" w:color="auto" w:fill="auto"/>
          </w:tcPr>
          <w:p>
            <w:pPr>
              <w:tabs>
                <w:tab w:val="left" w:pos="709"/>
              </w:tabs>
              <w:ind w:right="57"/>
              <w:rPr>
                <w:rFonts w:hint="default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午餐</w:t>
            </w:r>
          </w:p>
        </w:tc>
        <w:tc>
          <w:tcPr>
            <w:tcW w:w="2469" w:type="dxa"/>
            <w:shd w:val="clear" w:color="auto" w:fill="auto"/>
          </w:tcPr>
          <w:p>
            <w:pPr>
              <w:spacing w:line="300" w:lineRule="exact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230" w:type="dxa"/>
            <w:tcBorders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napToGrid w:val="0"/>
              <w:spacing w:line="320" w:lineRule="exact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13:00-17:30</w:t>
            </w:r>
          </w:p>
        </w:tc>
        <w:tc>
          <w:tcPr>
            <w:tcW w:w="694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3754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color w:val="auto"/>
                <w:sz w:val="18"/>
                <w:szCs w:val="18"/>
              </w:rPr>
              <w:t>职责、文件和记录管理；目标管理、内外部沟通、人员健康管理、持证上岗人员、人员招聘、员工培训及有效性评价；知识的管理</w:t>
            </w:r>
            <w:r>
              <w:rPr>
                <w:rFonts w:hint="eastAsia"/>
                <w:color w:val="auto"/>
                <w:sz w:val="18"/>
                <w:szCs w:val="18"/>
              </w:rPr>
              <w:t>；</w:t>
            </w:r>
            <w:r>
              <w:rPr>
                <w:color w:val="auto"/>
                <w:sz w:val="18"/>
                <w:szCs w:val="18"/>
              </w:rPr>
              <w:t>内部审核</w:t>
            </w:r>
            <w:r>
              <w:rPr>
                <w:rFonts w:hint="eastAsia"/>
                <w:color w:val="auto"/>
                <w:sz w:val="18"/>
                <w:szCs w:val="18"/>
              </w:rPr>
              <w:t>；</w:t>
            </w:r>
            <w:r>
              <w:rPr>
                <w:color w:val="auto"/>
                <w:sz w:val="18"/>
                <w:szCs w:val="18"/>
              </w:rPr>
              <w:t>监视测量分析和改进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/分析和评估</w:t>
            </w:r>
          </w:p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环境因素识别和危险源辨识和评价，合规义务，合规性评价，目标指标和管理方案，运行控制、监视和测量、应急准备和响应、事故调查、不合格控制、纠正措施</w:t>
            </w:r>
            <w:r>
              <w:rPr>
                <w:rFonts w:hint="eastAsia"/>
                <w:color w:val="auto"/>
                <w:sz w:val="18"/>
                <w:szCs w:val="18"/>
              </w:rPr>
              <w:t>；</w:t>
            </w:r>
            <w:r>
              <w:rPr>
                <w:color w:val="auto"/>
                <w:sz w:val="18"/>
                <w:szCs w:val="18"/>
              </w:rPr>
              <w:t>员工的协商与参与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sz w:val="18"/>
                <w:szCs w:val="18"/>
              </w:rPr>
              <w:t>辅助设施（</w:t>
            </w:r>
            <w:r>
              <w:rPr>
                <w:rFonts w:hint="eastAsia"/>
                <w:color w:val="auto"/>
                <w:sz w:val="18"/>
                <w:szCs w:val="18"/>
              </w:rPr>
              <w:t>适用时，可包括</w:t>
            </w:r>
            <w:r>
              <w:rPr>
                <w:color w:val="auto"/>
                <w:sz w:val="18"/>
                <w:szCs w:val="18"/>
              </w:rPr>
              <w:t>车辆控制、食堂、保洁、门卫）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等</w:t>
            </w:r>
          </w:p>
        </w:tc>
        <w:tc>
          <w:tcPr>
            <w:tcW w:w="2469" w:type="dxa"/>
            <w:shd w:val="clear" w:color="auto" w:fill="auto"/>
            <w:vAlign w:val="top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QMS</w:t>
            </w:r>
            <w:r>
              <w:rPr>
                <w:rFonts w:hint="eastAsia"/>
                <w:color w:val="auto"/>
                <w:sz w:val="18"/>
                <w:szCs w:val="18"/>
              </w:rPr>
              <w:t>：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5.3/</w:t>
            </w:r>
            <w:r>
              <w:rPr>
                <w:color w:val="auto"/>
                <w:sz w:val="18"/>
                <w:szCs w:val="18"/>
              </w:rPr>
              <w:t>6.2/7.1.2/7.1.6/7.2</w:t>
            </w:r>
          </w:p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/7.3/7.4/7.5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/</w:t>
            </w:r>
            <w:r>
              <w:rPr>
                <w:color w:val="auto"/>
                <w:sz w:val="18"/>
                <w:szCs w:val="18"/>
              </w:rPr>
              <w:t>9.1.3/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9.2/10.2</w:t>
            </w:r>
            <w:r>
              <w:rPr>
                <w:rFonts w:hint="eastAsia"/>
                <w:color w:val="auto"/>
                <w:sz w:val="18"/>
                <w:szCs w:val="18"/>
              </w:rPr>
              <w:t>；</w:t>
            </w:r>
          </w:p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FSMS</w:t>
            </w:r>
            <w:r>
              <w:rPr>
                <w:rFonts w:hint="eastAsia"/>
                <w:color w:val="auto"/>
                <w:sz w:val="18"/>
                <w:szCs w:val="18"/>
              </w:rPr>
              <w:t>：5.3/6.2/7.1.2/7.2/7.3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</w:rPr>
              <w:t>/7.4/7.5/</w:t>
            </w:r>
            <w:r>
              <w:rPr>
                <w:color w:val="auto"/>
                <w:sz w:val="18"/>
                <w:szCs w:val="18"/>
              </w:rPr>
              <w:t>9.1.2/9.2/10.1</w:t>
            </w:r>
          </w:p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EMS: 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5.3/</w:t>
            </w:r>
            <w:r>
              <w:rPr>
                <w:color w:val="auto"/>
                <w:sz w:val="18"/>
                <w:szCs w:val="18"/>
              </w:rPr>
              <w:t>6.1.2/6.1.3/6.1.4/6.2/ 8.1/8.2/9.1.1/9.1.2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/9.2/</w:t>
            </w:r>
            <w:r>
              <w:rPr>
                <w:color w:val="auto"/>
                <w:sz w:val="18"/>
                <w:szCs w:val="18"/>
              </w:rPr>
              <w:t>10.2</w:t>
            </w:r>
          </w:p>
          <w:p>
            <w:pPr>
              <w:spacing w:line="300" w:lineRule="exact"/>
              <w:rPr>
                <w:rFonts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sz w:val="18"/>
                <w:szCs w:val="18"/>
              </w:rPr>
              <w:t>OHS: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5.3/</w:t>
            </w:r>
            <w:r>
              <w:rPr>
                <w:color w:val="auto"/>
                <w:sz w:val="18"/>
                <w:szCs w:val="18"/>
              </w:rPr>
              <w:t>6.1.2/6.1.3/6.1.4/6.2 /8.1/8.2/9.1.1/9.1.2/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9.2/</w:t>
            </w:r>
            <w:r>
              <w:rPr>
                <w:color w:val="auto"/>
                <w:sz w:val="18"/>
                <w:szCs w:val="18"/>
              </w:rPr>
              <w:t>10.2</w:t>
            </w:r>
          </w:p>
        </w:tc>
        <w:tc>
          <w:tcPr>
            <w:tcW w:w="1230" w:type="dxa"/>
            <w:tcBorders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A：EO</w:t>
            </w:r>
          </w:p>
          <w:p>
            <w:pPr>
              <w:pStyle w:val="2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BD:F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C：Q（注:C同时为A提供专业支持）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" w:hRule="atLeast"/>
          <w:jc w:val="center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17:30</w:t>
            </w:r>
          </w:p>
        </w:tc>
        <w:tc>
          <w:tcPr>
            <w:tcW w:w="694" w:type="dxa"/>
            <w:shd w:val="clear" w:color="auto" w:fill="auto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3754" w:type="dxa"/>
            <w:shd w:val="clear" w:color="auto" w:fill="auto"/>
          </w:tcPr>
          <w:p>
            <w:pPr>
              <w:spacing w:line="300" w:lineRule="exact"/>
              <w:rPr>
                <w:rFonts w:hint="default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第一天审核结束</w:t>
            </w:r>
          </w:p>
        </w:tc>
        <w:tc>
          <w:tcPr>
            <w:tcW w:w="2469" w:type="dxa"/>
            <w:shd w:val="clear" w:color="auto" w:fill="auto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1230" w:type="dxa"/>
            <w:tcBorders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napToGrid w:val="0"/>
              <w:spacing w:line="320" w:lineRule="exact"/>
              <w:rPr>
                <w:rFonts w:hint="default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jc w:val="center"/>
        </w:trPr>
        <w:tc>
          <w:tcPr>
            <w:tcW w:w="979" w:type="dxa"/>
            <w:vMerge w:val="restart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2021-12-12全天</w:t>
            </w:r>
          </w:p>
        </w:tc>
        <w:tc>
          <w:tcPr>
            <w:tcW w:w="1349" w:type="dxa"/>
            <w:shd w:val="clear" w:color="auto" w:fill="auto"/>
          </w:tcPr>
          <w:p>
            <w:pPr>
              <w:snapToGrid w:val="0"/>
              <w:spacing w:line="320" w:lineRule="exac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第二天</w:t>
            </w:r>
          </w:p>
        </w:tc>
        <w:tc>
          <w:tcPr>
            <w:tcW w:w="694" w:type="dxa"/>
            <w:shd w:val="clear" w:color="auto" w:fill="auto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3754" w:type="dxa"/>
            <w:shd w:val="clear" w:color="auto" w:fill="auto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2469" w:type="dxa"/>
            <w:shd w:val="clear" w:color="auto" w:fill="auto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1230" w:type="dxa"/>
            <w:tcBorders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napToGrid w:val="0"/>
              <w:spacing w:line="320" w:lineRule="exact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8:55</w:t>
            </w:r>
          </w:p>
        </w:tc>
        <w:tc>
          <w:tcPr>
            <w:tcW w:w="694" w:type="dxa"/>
            <w:shd w:val="clear" w:color="auto" w:fill="auto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3754" w:type="dxa"/>
            <w:shd w:val="clear" w:color="auto" w:fill="auto"/>
          </w:tcPr>
          <w:p>
            <w:pPr>
              <w:spacing w:line="300" w:lineRule="exact"/>
              <w:rPr>
                <w:rFonts w:hint="eastAsia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到达</w:t>
            </w:r>
          </w:p>
        </w:tc>
        <w:tc>
          <w:tcPr>
            <w:tcW w:w="2469" w:type="dxa"/>
            <w:shd w:val="clear" w:color="auto" w:fill="auto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1230" w:type="dxa"/>
            <w:tcBorders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napToGrid w:val="0"/>
              <w:spacing w:line="320" w:lineRule="exact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ABCD</w:t>
            </w:r>
          </w:p>
          <w:p>
            <w:pPr>
              <w:snapToGrid w:val="0"/>
              <w:spacing w:line="320" w:lineRule="exact"/>
              <w:rPr>
                <w:rFonts w:hint="default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（AD远程）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9:00-12:30</w:t>
            </w:r>
          </w:p>
        </w:tc>
        <w:tc>
          <w:tcPr>
            <w:tcW w:w="694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厨务部</w:t>
            </w:r>
            <w:r>
              <w:rPr>
                <w:rFonts w:hint="eastAsia"/>
                <w:color w:val="auto"/>
                <w:sz w:val="18"/>
                <w:szCs w:val="18"/>
              </w:rPr>
              <w:t>及现场</w:t>
            </w:r>
          </w:p>
        </w:tc>
        <w:tc>
          <w:tcPr>
            <w:tcW w:w="3754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职责、目标管理、</w:t>
            </w:r>
            <w:r>
              <w:rPr>
                <w:color w:val="auto"/>
                <w:sz w:val="18"/>
                <w:szCs w:val="18"/>
              </w:rPr>
              <w:t>产品和服务的提供，过程和产品的监测，过程能力确认</w:t>
            </w:r>
            <w:r>
              <w:rPr>
                <w:rFonts w:hint="eastAsia"/>
                <w:color w:val="auto"/>
                <w:sz w:val="18"/>
                <w:szCs w:val="18"/>
              </w:rPr>
              <w:t>，</w:t>
            </w:r>
            <w:r>
              <w:rPr>
                <w:color w:val="auto"/>
                <w:sz w:val="18"/>
                <w:szCs w:val="18"/>
              </w:rPr>
              <w:t>产品交付、运输控制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适用时）</w:t>
            </w:r>
            <w:r>
              <w:rPr>
                <w:rFonts w:hint="eastAsia"/>
                <w:color w:val="auto"/>
                <w:sz w:val="18"/>
                <w:szCs w:val="18"/>
              </w:rPr>
              <w:t>、</w:t>
            </w:r>
            <w:r>
              <w:rPr>
                <w:color w:val="auto"/>
                <w:sz w:val="18"/>
                <w:szCs w:val="18"/>
              </w:rPr>
              <w:t>特种设备管理、工作环境控制、PRP/OPRP、关键控制点的监视系统、可追溯性系统、潜在不符合品控制、CCP的监控、纠偏及现场情况、产品的撤回/召回、标识和可追溯性系统/计划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产品放行；外部提供过程、产品和服务的控制；计量器具的管理</w:t>
            </w:r>
          </w:p>
          <w:p>
            <w:pPr>
              <w:spacing w:line="300" w:lineRule="exact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EHS因素识别及控制，人员培训，现场运行控制，EHS绩效控制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</w:rPr>
              <w:t>危险作业控制防雷检测、手持电动工具、公用工程（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适用时，如</w:t>
            </w:r>
            <w:r>
              <w:rPr>
                <w:rFonts w:hint="eastAsia"/>
                <w:color w:val="auto"/>
                <w:sz w:val="18"/>
                <w:szCs w:val="18"/>
              </w:rPr>
              <w:t>配电室、锅炉房、空压站、尾气处理设备等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）；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一阶段问题的验证</w:t>
            </w:r>
          </w:p>
        </w:tc>
        <w:tc>
          <w:tcPr>
            <w:tcW w:w="2469" w:type="dxa"/>
            <w:shd w:val="clear" w:color="auto" w:fill="auto"/>
            <w:vAlign w:val="top"/>
          </w:tcPr>
          <w:p>
            <w:pPr>
              <w:jc w:val="left"/>
              <w:rPr>
                <w:rFonts w:hint="default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color w:val="auto"/>
                <w:sz w:val="18"/>
                <w:szCs w:val="18"/>
              </w:rPr>
              <w:t>Q:5.3</w:t>
            </w:r>
            <w:r>
              <w:rPr>
                <w:rFonts w:hint="eastAsia"/>
                <w:color w:val="auto"/>
                <w:sz w:val="18"/>
                <w:szCs w:val="18"/>
              </w:rPr>
              <w:t>/</w:t>
            </w:r>
            <w:r>
              <w:rPr>
                <w:color w:val="auto"/>
                <w:sz w:val="18"/>
                <w:szCs w:val="18"/>
              </w:rPr>
              <w:t>6.2</w:t>
            </w:r>
            <w:r>
              <w:rPr>
                <w:rFonts w:hint="eastAsia"/>
                <w:color w:val="auto"/>
                <w:sz w:val="18"/>
                <w:szCs w:val="18"/>
              </w:rPr>
              <w:t>/</w:t>
            </w:r>
            <w:r>
              <w:rPr>
                <w:color w:val="auto"/>
                <w:sz w:val="18"/>
                <w:szCs w:val="18"/>
              </w:rPr>
              <w:t>7.1.4/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7.1.5/</w:t>
            </w:r>
            <w:r>
              <w:rPr>
                <w:color w:val="auto"/>
                <w:sz w:val="18"/>
                <w:szCs w:val="18"/>
              </w:rPr>
              <w:t>8.1/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8.4/</w:t>
            </w:r>
            <w:r>
              <w:rPr>
                <w:color w:val="auto"/>
                <w:sz w:val="18"/>
                <w:szCs w:val="18"/>
              </w:rPr>
              <w:t>8.5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/8.6/8.7/8.3 条款不适用确认</w:t>
            </w:r>
          </w:p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E/O: 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5.3/</w:t>
            </w:r>
            <w:r>
              <w:rPr>
                <w:color w:val="auto"/>
                <w:sz w:val="18"/>
                <w:szCs w:val="18"/>
              </w:rPr>
              <w:t>6.1.2/6.1.4/6.2/8.1/8.2</w:t>
            </w:r>
          </w:p>
          <w:p>
            <w:pPr>
              <w:pStyle w:val="2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F:5.3/6.2/7.1.4/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7.1.6/</w:t>
            </w:r>
            <w:r>
              <w:rPr>
                <w:color w:val="auto"/>
                <w:sz w:val="18"/>
                <w:szCs w:val="18"/>
              </w:rPr>
              <w:t>8.2/8.3/8.4/8.5.4/8.7/8.9.1-8.9.4</w:t>
            </w:r>
          </w:p>
          <w:p>
            <w:pPr>
              <w:spacing w:line="300" w:lineRule="exact"/>
              <w:rPr>
                <w:rFonts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30" w:type="dxa"/>
            <w:tcBorders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A：EO</w:t>
            </w:r>
          </w:p>
          <w:p>
            <w:pPr>
              <w:pStyle w:val="2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BD：F</w:t>
            </w:r>
          </w:p>
          <w:p>
            <w:pPr>
              <w:pStyle w:val="2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C：Q（注:C同时为A提供专业支持）</w:t>
            </w:r>
          </w:p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12:30-13:00</w:t>
            </w:r>
          </w:p>
        </w:tc>
        <w:tc>
          <w:tcPr>
            <w:tcW w:w="694" w:type="dxa"/>
            <w:shd w:val="clear" w:color="auto" w:fill="auto"/>
            <w:vAlign w:val="top"/>
          </w:tcPr>
          <w:p>
            <w:pPr>
              <w:jc w:val="left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午餐</w:t>
            </w:r>
          </w:p>
        </w:tc>
        <w:tc>
          <w:tcPr>
            <w:tcW w:w="3754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469" w:type="dxa"/>
            <w:shd w:val="clear" w:color="auto" w:fill="auto"/>
            <w:vAlign w:val="top"/>
          </w:tcPr>
          <w:p>
            <w:pPr>
              <w:rPr>
                <w:rFonts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30" w:type="dxa"/>
            <w:tcBorders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1349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13:00-17:30</w:t>
            </w:r>
          </w:p>
        </w:tc>
        <w:tc>
          <w:tcPr>
            <w:tcW w:w="694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厨务部</w:t>
            </w:r>
            <w:r>
              <w:rPr>
                <w:rFonts w:hint="eastAsia"/>
                <w:color w:val="auto"/>
                <w:sz w:val="18"/>
                <w:szCs w:val="18"/>
              </w:rPr>
              <w:t>及现场</w:t>
            </w:r>
          </w:p>
        </w:tc>
        <w:tc>
          <w:tcPr>
            <w:tcW w:w="3754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职责、目标管理、</w:t>
            </w:r>
            <w:r>
              <w:rPr>
                <w:color w:val="auto"/>
                <w:sz w:val="18"/>
                <w:szCs w:val="18"/>
              </w:rPr>
              <w:t>产品和服务的提供，过程和产品的监测，过程能力确认</w:t>
            </w:r>
            <w:r>
              <w:rPr>
                <w:rFonts w:hint="eastAsia"/>
                <w:color w:val="auto"/>
                <w:sz w:val="18"/>
                <w:szCs w:val="18"/>
              </w:rPr>
              <w:t>，</w:t>
            </w:r>
            <w:r>
              <w:rPr>
                <w:color w:val="auto"/>
                <w:sz w:val="18"/>
                <w:szCs w:val="18"/>
              </w:rPr>
              <w:t>产品交付、运输控制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适用时）</w:t>
            </w:r>
            <w:r>
              <w:rPr>
                <w:rFonts w:hint="eastAsia"/>
                <w:color w:val="auto"/>
                <w:sz w:val="18"/>
                <w:szCs w:val="18"/>
              </w:rPr>
              <w:t>、</w:t>
            </w:r>
            <w:r>
              <w:rPr>
                <w:color w:val="auto"/>
                <w:sz w:val="18"/>
                <w:szCs w:val="18"/>
              </w:rPr>
              <w:t>特种设备管理、工作环境控制、PRP/OPRP、关键控制点的监视系统、可追溯性系统、潜在不符合品控制、CCP的监控、纠偏及现场情况、产品的撤回/召回、标识和可追溯性系统/计划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产品放行；外部提供过程、产品和服务的控制；计量器具的管理</w:t>
            </w:r>
          </w:p>
          <w:p>
            <w:pPr>
              <w:spacing w:line="30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EHS因素识别及控制，人员培训，现场运行控制，EHS绩效控制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</w:rPr>
              <w:t>危险作业控制防雷检测、手持电动工具、公用工程（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适用时，如</w:t>
            </w:r>
            <w:r>
              <w:rPr>
                <w:rFonts w:hint="eastAsia"/>
                <w:color w:val="auto"/>
                <w:sz w:val="18"/>
                <w:szCs w:val="18"/>
              </w:rPr>
              <w:t>配电室、锅炉房、空压站、尾气处理设备等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）；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一阶段问题的验证——继续审核</w:t>
            </w:r>
          </w:p>
        </w:tc>
        <w:tc>
          <w:tcPr>
            <w:tcW w:w="2469" w:type="dxa"/>
            <w:shd w:val="clear" w:color="auto" w:fill="auto"/>
            <w:vAlign w:val="top"/>
          </w:tcPr>
          <w:p>
            <w:pPr>
              <w:jc w:val="left"/>
              <w:rPr>
                <w:rFonts w:hint="default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color w:val="auto"/>
                <w:sz w:val="18"/>
                <w:szCs w:val="18"/>
              </w:rPr>
              <w:t>Q:5.3</w:t>
            </w:r>
            <w:r>
              <w:rPr>
                <w:rFonts w:hint="eastAsia"/>
                <w:color w:val="auto"/>
                <w:sz w:val="18"/>
                <w:szCs w:val="18"/>
              </w:rPr>
              <w:t>/</w:t>
            </w:r>
            <w:r>
              <w:rPr>
                <w:color w:val="auto"/>
                <w:sz w:val="18"/>
                <w:szCs w:val="18"/>
              </w:rPr>
              <w:t>6.2</w:t>
            </w:r>
            <w:r>
              <w:rPr>
                <w:rFonts w:hint="eastAsia"/>
                <w:color w:val="auto"/>
                <w:sz w:val="18"/>
                <w:szCs w:val="18"/>
              </w:rPr>
              <w:t>/</w:t>
            </w:r>
            <w:r>
              <w:rPr>
                <w:color w:val="auto"/>
                <w:sz w:val="18"/>
                <w:szCs w:val="18"/>
              </w:rPr>
              <w:t>7.1.4/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7.1.5/</w:t>
            </w:r>
            <w:r>
              <w:rPr>
                <w:color w:val="auto"/>
                <w:sz w:val="18"/>
                <w:szCs w:val="18"/>
              </w:rPr>
              <w:t>8.1/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8.4/</w:t>
            </w:r>
            <w:r>
              <w:rPr>
                <w:color w:val="auto"/>
                <w:sz w:val="18"/>
                <w:szCs w:val="18"/>
              </w:rPr>
              <w:t>8.5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/8.6/8.7/8.3 条款不适用确认</w:t>
            </w:r>
          </w:p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E/O: 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5.3/</w:t>
            </w:r>
            <w:r>
              <w:rPr>
                <w:color w:val="auto"/>
                <w:sz w:val="18"/>
                <w:szCs w:val="18"/>
              </w:rPr>
              <w:t>6.1.2/6.1.4/6.2/8.1/8.2</w:t>
            </w:r>
          </w:p>
          <w:p>
            <w:pPr>
              <w:pStyle w:val="2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F:5.3/6.2/7.1.4/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7.1.6/</w:t>
            </w:r>
            <w:r>
              <w:rPr>
                <w:color w:val="auto"/>
                <w:sz w:val="18"/>
                <w:szCs w:val="18"/>
              </w:rPr>
              <w:t>8.2/8.3/8.4/8.5.4/8.7/8.9.1-8.9.4</w:t>
            </w:r>
          </w:p>
          <w:p>
            <w:pPr>
              <w:spacing w:line="300" w:lineRule="exact"/>
              <w:rPr>
                <w:rFonts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30" w:type="dxa"/>
            <w:tcBorders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A：EO</w:t>
            </w:r>
          </w:p>
          <w:p>
            <w:pPr>
              <w:pStyle w:val="2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BD：F</w:t>
            </w:r>
          </w:p>
          <w:p>
            <w:pPr>
              <w:pStyle w:val="2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C：Q（注:C同时为A提供专业支持）</w:t>
            </w:r>
          </w:p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17:30</w:t>
            </w:r>
          </w:p>
        </w:tc>
        <w:tc>
          <w:tcPr>
            <w:tcW w:w="694" w:type="dxa"/>
            <w:shd w:val="clear" w:color="auto" w:fill="auto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3754" w:type="dxa"/>
            <w:shd w:val="clear" w:color="auto" w:fill="auto"/>
          </w:tcPr>
          <w:p>
            <w:pPr>
              <w:spacing w:line="300" w:lineRule="exact"/>
              <w:rPr>
                <w:rFonts w:hint="default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第二天审核结束</w:t>
            </w:r>
          </w:p>
        </w:tc>
        <w:tc>
          <w:tcPr>
            <w:tcW w:w="2469" w:type="dxa"/>
            <w:shd w:val="clear" w:color="auto" w:fill="auto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1230" w:type="dxa"/>
            <w:tcBorders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napToGrid w:val="0"/>
              <w:spacing w:line="320" w:lineRule="exact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979" w:type="dxa"/>
            <w:vMerge w:val="restart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2021-12-13上午</w:t>
            </w:r>
          </w:p>
        </w:tc>
        <w:tc>
          <w:tcPr>
            <w:tcW w:w="1349" w:type="dxa"/>
            <w:shd w:val="clear" w:color="auto" w:fill="auto"/>
          </w:tcPr>
          <w:p>
            <w:pPr>
              <w:snapToGrid w:val="0"/>
              <w:spacing w:line="32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第三天</w:t>
            </w:r>
          </w:p>
        </w:tc>
        <w:tc>
          <w:tcPr>
            <w:tcW w:w="694" w:type="dxa"/>
            <w:shd w:val="clear" w:color="auto" w:fill="auto"/>
          </w:tcPr>
          <w:p>
            <w:pPr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3754" w:type="dxa"/>
            <w:shd w:val="clear" w:color="auto" w:fill="auto"/>
          </w:tcPr>
          <w:p>
            <w:pPr>
              <w:spacing w:line="300" w:lineRule="exact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2469" w:type="dxa"/>
            <w:shd w:val="clear" w:color="auto" w:fill="auto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1230" w:type="dxa"/>
            <w:tcBorders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napToGrid w:val="0"/>
              <w:spacing w:line="320" w:lineRule="exact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8：25</w:t>
            </w:r>
          </w:p>
        </w:tc>
        <w:tc>
          <w:tcPr>
            <w:tcW w:w="694" w:type="dxa"/>
            <w:shd w:val="clear" w:color="auto" w:fill="auto"/>
          </w:tcPr>
          <w:p>
            <w:pPr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3754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hint="eastAsia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到达</w:t>
            </w:r>
          </w:p>
        </w:tc>
        <w:tc>
          <w:tcPr>
            <w:tcW w:w="2469" w:type="dxa"/>
            <w:shd w:val="clear" w:color="auto" w:fill="auto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1230" w:type="dxa"/>
            <w:tcBorders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napToGrid w:val="0"/>
              <w:spacing w:line="240" w:lineRule="auto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ABCD</w:t>
            </w:r>
          </w:p>
          <w:p>
            <w:pPr>
              <w:snapToGrid w:val="0"/>
              <w:spacing w:line="240" w:lineRule="auto"/>
              <w:rPr>
                <w:rFonts w:hint="default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（AD远程）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3" w:hRule="atLeast"/>
          <w:jc w:val="center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1349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8:30-11:30</w:t>
            </w:r>
          </w:p>
        </w:tc>
        <w:tc>
          <w:tcPr>
            <w:tcW w:w="694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餐饮部及现场</w:t>
            </w:r>
          </w:p>
        </w:tc>
        <w:tc>
          <w:tcPr>
            <w:tcW w:w="3754" w:type="dxa"/>
            <w:shd w:val="clear" w:color="auto" w:fill="auto"/>
            <w:vAlign w:val="top"/>
          </w:tcPr>
          <w:p>
            <w:pPr>
              <w:jc w:val="left"/>
              <w:rPr>
                <w:rFonts w:hint="default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职责、</w:t>
            </w:r>
            <w:r>
              <w:rPr>
                <w:color w:val="auto"/>
                <w:sz w:val="18"/>
                <w:szCs w:val="18"/>
              </w:rPr>
              <w:t>目标</w:t>
            </w:r>
            <w:r>
              <w:rPr>
                <w:rFonts w:hint="eastAsia"/>
                <w:color w:val="auto"/>
                <w:sz w:val="18"/>
                <w:szCs w:val="18"/>
              </w:rPr>
              <w:t>管理</w:t>
            </w:r>
            <w:r>
              <w:rPr>
                <w:color w:val="auto"/>
                <w:sz w:val="18"/>
                <w:szCs w:val="18"/>
              </w:rPr>
              <w:t>、</w:t>
            </w:r>
            <w:r>
              <w:rPr>
                <w:rFonts w:hint="eastAsia"/>
                <w:color w:val="auto"/>
                <w:sz w:val="18"/>
                <w:szCs w:val="18"/>
              </w:rPr>
              <w:t>内外部沟通、产品服务的要求、与顾客有关的过程、产品交付及交付后活动；顾客沟通、投诉及满意管理；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基础设施的管理；服务提供过程；撤回找回情况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环境因素和危险源识别及控制，重要环境因素和不可接受风险及现场运行控制；</w:t>
            </w:r>
          </w:p>
        </w:tc>
        <w:tc>
          <w:tcPr>
            <w:tcW w:w="2469" w:type="dxa"/>
            <w:shd w:val="clear" w:color="auto" w:fill="auto"/>
            <w:vAlign w:val="top"/>
          </w:tcPr>
          <w:p>
            <w:pPr>
              <w:spacing w:line="300" w:lineRule="exact"/>
              <w:jc w:val="lef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Q</w:t>
            </w:r>
            <w:r>
              <w:rPr>
                <w:color w:val="auto"/>
                <w:sz w:val="18"/>
                <w:szCs w:val="18"/>
              </w:rPr>
              <w:t>:5.3</w:t>
            </w:r>
            <w:r>
              <w:rPr>
                <w:rFonts w:hint="eastAsia"/>
                <w:color w:val="auto"/>
                <w:sz w:val="18"/>
                <w:szCs w:val="18"/>
              </w:rPr>
              <w:t>/</w:t>
            </w:r>
            <w:r>
              <w:rPr>
                <w:color w:val="auto"/>
                <w:sz w:val="18"/>
                <w:szCs w:val="18"/>
              </w:rPr>
              <w:t>6.2/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7.1.3/</w:t>
            </w:r>
            <w:r>
              <w:rPr>
                <w:color w:val="auto"/>
                <w:sz w:val="18"/>
                <w:szCs w:val="18"/>
              </w:rPr>
              <w:t>7.4/8.2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/8.5.1/8.5.3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/</w:t>
            </w:r>
            <w:r>
              <w:rPr>
                <w:color w:val="auto"/>
                <w:sz w:val="18"/>
                <w:szCs w:val="18"/>
                <w:highlight w:val="none"/>
              </w:rPr>
              <w:t>8.</w:t>
            </w:r>
            <w:r>
              <w:rPr>
                <w:color w:val="auto"/>
                <w:sz w:val="18"/>
                <w:szCs w:val="18"/>
              </w:rPr>
              <w:t>5.5</w:t>
            </w:r>
            <w:r>
              <w:rPr>
                <w:rFonts w:hint="eastAsia"/>
                <w:color w:val="auto"/>
                <w:sz w:val="18"/>
                <w:szCs w:val="18"/>
              </w:rPr>
              <w:t>/</w:t>
            </w:r>
            <w:r>
              <w:rPr>
                <w:color w:val="auto"/>
                <w:sz w:val="18"/>
                <w:szCs w:val="18"/>
              </w:rPr>
              <w:t>9.1.2</w:t>
            </w:r>
          </w:p>
          <w:p>
            <w:pPr>
              <w:spacing w:line="300" w:lineRule="exact"/>
              <w:jc w:val="lef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E/O:</w:t>
            </w:r>
          </w:p>
          <w:p>
            <w:pPr>
              <w:spacing w:line="300" w:lineRule="exact"/>
              <w:jc w:val="lef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5.3/ 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6</w:t>
            </w:r>
            <w:r>
              <w:rPr>
                <w:color w:val="auto"/>
                <w:sz w:val="18"/>
                <w:szCs w:val="18"/>
              </w:rPr>
              <w:t>.1.2/6.1.4/6.2/7.4/</w:t>
            </w:r>
          </w:p>
          <w:p>
            <w:pPr>
              <w:spacing w:line="300" w:lineRule="exact"/>
              <w:jc w:val="lef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8.1/8.2</w:t>
            </w:r>
          </w:p>
          <w:p>
            <w:pPr>
              <w:spacing w:line="30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F</w:t>
            </w:r>
            <w:r>
              <w:rPr>
                <w:color w:val="auto"/>
                <w:sz w:val="18"/>
                <w:szCs w:val="18"/>
              </w:rPr>
              <w:t>:5.3/6.2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/7.1.3/</w:t>
            </w:r>
            <w:r>
              <w:rPr>
                <w:color w:val="auto"/>
                <w:sz w:val="18"/>
                <w:szCs w:val="18"/>
              </w:rPr>
              <w:t>7.4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/8.2/8.9.5</w:t>
            </w:r>
          </w:p>
        </w:tc>
        <w:tc>
          <w:tcPr>
            <w:tcW w:w="1230" w:type="dxa"/>
            <w:tcBorders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A:EO</w:t>
            </w:r>
          </w:p>
          <w:p>
            <w:pPr>
              <w:pStyle w:val="2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BD：F</w:t>
            </w:r>
          </w:p>
          <w:p>
            <w:pPr>
              <w:pStyle w:val="2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C:Q（注:C同时为A提供专业支持）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11：30-12:00</w:t>
            </w:r>
          </w:p>
        </w:tc>
        <w:tc>
          <w:tcPr>
            <w:tcW w:w="694" w:type="dxa"/>
            <w:shd w:val="clear" w:color="auto" w:fill="auto"/>
          </w:tcPr>
          <w:p>
            <w:pPr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3754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各组补充审核，与企业方沟通</w:t>
            </w:r>
          </w:p>
        </w:tc>
        <w:tc>
          <w:tcPr>
            <w:tcW w:w="2469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auto"/>
                <w:kern w:val="2"/>
                <w:sz w:val="18"/>
                <w:szCs w:val="18"/>
                <w:lang w:val="de-DE" w:eastAsia="zh-CN" w:bidi="ar-SA"/>
              </w:rPr>
            </w:pPr>
          </w:p>
        </w:tc>
        <w:tc>
          <w:tcPr>
            <w:tcW w:w="1230" w:type="dxa"/>
            <w:tcBorders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sz w:val="18"/>
                <w:szCs w:val="18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" w:hRule="atLeast"/>
          <w:jc w:val="center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napToGrid w:val="0"/>
              <w:spacing w:line="320" w:lineRule="exac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12</w:t>
            </w:r>
            <w:r>
              <w:rPr>
                <w:rFonts w:hint="eastAsia"/>
                <w:color w:val="auto"/>
                <w:sz w:val="18"/>
                <w:szCs w:val="18"/>
              </w:rPr>
              <w:t>:</w:t>
            </w:r>
            <w:r>
              <w:rPr>
                <w:color w:val="auto"/>
                <w:sz w:val="18"/>
                <w:szCs w:val="18"/>
              </w:rPr>
              <w:t>00</w:t>
            </w:r>
            <w:r>
              <w:rPr>
                <w:rFonts w:hint="eastAsia"/>
                <w:color w:val="auto"/>
                <w:sz w:val="18"/>
                <w:szCs w:val="18"/>
              </w:rPr>
              <w:t>-</w:t>
            </w:r>
            <w:r>
              <w:rPr>
                <w:color w:val="auto"/>
                <w:sz w:val="18"/>
                <w:szCs w:val="18"/>
              </w:rPr>
              <w:t>12:30</w:t>
            </w:r>
          </w:p>
        </w:tc>
        <w:tc>
          <w:tcPr>
            <w:tcW w:w="694" w:type="dxa"/>
            <w:shd w:val="clear" w:color="auto" w:fill="auto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3754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末次会议</w:t>
            </w:r>
          </w:p>
        </w:tc>
        <w:tc>
          <w:tcPr>
            <w:tcW w:w="2469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sz w:val="18"/>
                <w:szCs w:val="18"/>
              </w:rPr>
              <w:t>宣告审核发现</w:t>
            </w:r>
          </w:p>
        </w:tc>
        <w:tc>
          <w:tcPr>
            <w:tcW w:w="1230" w:type="dxa"/>
            <w:tcBorders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sz w:val="18"/>
                <w:szCs w:val="18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  <w:jc w:val="center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1349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2:30</w:t>
            </w:r>
          </w:p>
        </w:tc>
        <w:tc>
          <w:tcPr>
            <w:tcW w:w="694" w:type="dxa"/>
            <w:shd w:val="clear" w:color="auto" w:fill="auto"/>
            <w:vAlign w:val="top"/>
          </w:tcPr>
          <w:p>
            <w:pP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54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审核结束</w:t>
            </w:r>
          </w:p>
        </w:tc>
        <w:tc>
          <w:tcPr>
            <w:tcW w:w="2469" w:type="dxa"/>
            <w:shd w:val="clear" w:color="auto" w:fill="auto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1230" w:type="dxa"/>
            <w:tcBorders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napToGrid w:val="0"/>
              <w:spacing w:line="320" w:lineRule="exact"/>
              <w:jc w:val="center"/>
              <w:rPr>
                <w:rFonts w:hint="eastAsia" w:eastAsia="宋体"/>
                <w:color w:val="auto"/>
                <w:sz w:val="18"/>
                <w:szCs w:val="18"/>
                <w:lang w:eastAsia="zh-CN"/>
              </w:rPr>
            </w:pP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014B75D6"/>
    <w:rsid w:val="0C7C3083"/>
    <w:rsid w:val="1D1A32F3"/>
    <w:rsid w:val="3C1106BA"/>
    <w:rsid w:val="4BCE4046"/>
    <w:rsid w:val="591F7E2B"/>
    <w:rsid w:val="5A76550A"/>
    <w:rsid w:val="656E1E5A"/>
    <w:rsid w:val="6D8C24FF"/>
    <w:rsid w:val="7A224B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4</TotalTime>
  <ScaleCrop>false</ScaleCrop>
  <LinksUpToDate>false</LinksUpToDate>
  <CharactersWithSpaces>5336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肖新龙</cp:lastModifiedBy>
  <dcterms:modified xsi:type="dcterms:W3CDTF">2021-12-17T09:29:10Z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2052-11.1.0.11115</vt:lpwstr>
  </property>
</Properties>
</file>