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6"/>
        <w:gridCol w:w="906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4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加工厂（采购销售）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主管领导：周德强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郑巧媛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14" w:type="dxa"/>
            <w:gridSpan w:val="2"/>
            <w:vMerge w:val="continue"/>
            <w:vAlign w:val="center"/>
          </w:tcPr>
          <w:p/>
        </w:tc>
        <w:tc>
          <w:tcPr>
            <w:tcW w:w="906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</w:t>
            </w:r>
            <w:r>
              <w:rPr>
                <w:rFonts w:hint="eastAsia"/>
                <w:sz w:val="24"/>
                <w:szCs w:val="24"/>
              </w:rPr>
              <w:t xml:space="preserve">       审核日期：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1-12-09上午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4" w:type="dxa"/>
            <w:gridSpan w:val="2"/>
            <w:vMerge w:val="continue"/>
            <w:vAlign w:val="center"/>
          </w:tcPr>
          <w:p/>
        </w:tc>
        <w:tc>
          <w:tcPr>
            <w:tcW w:w="906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  <w:lang w:val="en-US" w:eastAsia="zh-CN"/>
              </w:rPr>
              <w:t>MS</w:t>
            </w:r>
            <w:r>
              <w:rPr>
                <w:rFonts w:hint="eastAsia"/>
                <w:szCs w:val="21"/>
              </w:rPr>
              <w:t>:5.3/6.2/7.4/8.2/</w:t>
            </w:r>
            <w:r>
              <w:rPr>
                <w:rFonts w:hint="eastAsia"/>
                <w:szCs w:val="21"/>
                <w:lang w:val="en-US" w:eastAsia="zh-CN"/>
              </w:rPr>
              <w:t>8.4/</w:t>
            </w:r>
            <w:r>
              <w:rPr>
                <w:rFonts w:hint="eastAsia"/>
                <w:szCs w:val="21"/>
              </w:rPr>
              <w:t>8.5.5/9.1.2</w:t>
            </w:r>
          </w:p>
          <w:p>
            <w:pPr>
              <w:ind w:firstLine="1260" w:firstLineChars="60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  <w:lang w:val="en-US" w:eastAsia="zh-CN"/>
              </w:rPr>
              <w:t>SMS</w:t>
            </w:r>
            <w:r>
              <w:rPr>
                <w:rFonts w:hint="eastAsia"/>
                <w:szCs w:val="21"/>
              </w:rPr>
              <w:t>：5.3/6.2/7.1.6/7.4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14" w:type="dxa"/>
            <w:gridSpan w:val="2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06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Q5.3</w:t>
            </w:r>
          </w:p>
          <w:p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如：</w:t>
            </w:r>
            <w:r>
              <w:rPr/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val="en-US" w:eastAsia="zh-CN"/>
              </w:rPr>
              <w:t>5.3条款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14" w:type="dxa"/>
            <w:gridSpan w:val="2"/>
            <w:vMerge w:val="continue"/>
          </w:tcPr>
          <w:p/>
        </w:tc>
        <w:tc>
          <w:tcPr>
            <w:tcW w:w="906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与部门职责相关的主要职责是：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主要负责接受客户订单、客户订单情况完成以及产品交付工作；负责原材料采购管理，合格供方评价管理、负责采购过程中不合格品的管理，负责顾客满意度调查、顾客抱怨投诉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经沟通了解近一年本部门职责未发生变化。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14" w:type="dxa"/>
            <w:gridSpan w:val="2"/>
            <w:vMerge w:val="restart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质量/食品安全目标及其实现的策划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06" w:type="dxa"/>
            <w:vMerge w:val="restart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Q6.2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color w:val="000000"/>
                <w:szCs w:val="21"/>
                <w:highlight w:val="none"/>
              </w:rPr>
              <w:t>6.2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手册第6.2条款、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highlight w:val="none"/>
              </w:rPr>
              <w:instrText xml:space="preserve">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目标管理考核一览表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14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0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目标具体、有针对性、可测量并且可实现。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012"/>
              <w:gridCol w:w="2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rPr>
                      <w:rFonts w:hint="default" w:ascii="宋体" w:hAnsi="宋体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质量目标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/食品安全目标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计算方法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责任部门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目标实际完成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2021年第一到第三季度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spacing w:val="1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/>
                    </w:rPr>
                    <w:t>顾客满意率90%以上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顾客满意度调查统计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加工厂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96%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/>
                    </w:rPr>
                    <w:t>采购物资及时率≥98%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打分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加工厂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99.3%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目标已实现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顾客沟通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Q8.2.1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F7.4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Q7.4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F8.2</w:t>
            </w:r>
          </w:p>
          <w:p>
            <w:pPr>
              <w:pStyle w:val="7"/>
              <w:jc w:val="both"/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98" w:type="dxa"/>
            <w:vMerge w:val="continue"/>
            <w:shd w:val="clear" w:color="auto" w:fill="auto"/>
          </w:tcPr>
          <w:p/>
        </w:tc>
        <w:tc>
          <w:tcPr>
            <w:tcW w:w="922" w:type="dxa"/>
            <w:gridSpan w:val="2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与顾客沟通的内容包括：</w:t>
            </w:r>
          </w:p>
          <w:p>
            <w:pPr>
              <w:pStyle w:val="7"/>
              <w:rPr>
                <w:rFonts w:hint="eastAsia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8"/>
              <w:gridCol w:w="3360"/>
              <w:gridCol w:w="2455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360" w:type="dxa"/>
                </w:tcPr>
                <w:p/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处理问询（产品介绍、订货会）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合作协议</w:t>
                  </w:r>
                </w:p>
                <w:p>
                  <w:pPr>
                    <w:rPr>
                      <w:b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签订合同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驻场兽医出具检疫合格证明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顾客满意度调查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360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处置或控制顾客财产，如：</w:t>
                  </w:r>
                </w:p>
                <w:p>
                  <w:pPr>
                    <w:pStyle w:val="2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应急死亡猪/病害猪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现场沟通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无害化处理证据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/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55" w:type="dxa"/>
                </w:tcPr>
                <w:p/>
              </w:tc>
              <w:tc>
                <w:tcPr>
                  <w:tcW w:w="2110" w:type="dxa"/>
                </w:tcPr>
                <w:p/>
              </w:tc>
            </w:tr>
          </w:tbl>
          <w:p>
            <w:pPr>
              <w:pStyle w:val="7"/>
              <w:rPr>
                <w:rFonts w:hint="eastAsia"/>
              </w:rPr>
            </w:pP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产品和服务要求的确定 </w:t>
            </w:r>
          </w:p>
          <w:p/>
        </w:tc>
        <w:tc>
          <w:tcPr>
            <w:tcW w:w="922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Q8.2.2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98" w:type="dxa"/>
            <w:vMerge w:val="continue"/>
            <w:shd w:val="clear" w:color="auto" w:fill="auto"/>
          </w:tcPr>
          <w:p/>
        </w:tc>
        <w:tc>
          <w:tcPr>
            <w:tcW w:w="922" w:type="dxa"/>
            <w:gridSpan w:val="2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适用的法律法规要求（含产品标准），如：</w:t>
            </w:r>
            <w:r>
              <w:rPr>
                <w:rFonts w:hint="eastAsia"/>
                <w:u w:val="single"/>
              </w:rPr>
              <w:t xml:space="preserve">    食品安全国家标准、产品标准              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  顾客要求                             </w:t>
            </w:r>
          </w:p>
          <w:p>
            <w:pPr>
              <w:rPr>
                <w:rFonts w:hint="eastAsia"/>
                <w:u w:val="single"/>
              </w:rPr>
            </w:pPr>
          </w:p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rFonts w:hint="eastAsia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适用的法律法规要求（含产品标准），如：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GB/T19479 生猪屠宰良好操作规范、GB17236 生猪屠宰操作规程；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顾客要求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产品和服务要求的评审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Q8.2.3 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98" w:type="dxa"/>
            <w:vMerge w:val="continue"/>
            <w:shd w:val="clear" w:color="auto" w:fill="auto"/>
          </w:tcPr>
          <w:p/>
        </w:tc>
        <w:tc>
          <w:tcPr>
            <w:tcW w:w="922" w:type="dxa"/>
            <w:gridSpan w:val="2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目前和顾客约定的形式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招标书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投标书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书面合同（标书、合同、订单、传真）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口头合同（电话、口述）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电子合同（e-mail）</w:t>
            </w:r>
          </w:p>
          <w:p/>
          <w:p>
            <w:r>
              <w:rPr>
                <w:rFonts w:hint="eastAsia"/>
              </w:rPr>
              <w:t>评审的方式：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授权人签字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会签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开会讨论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盖章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填写表格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在系统中审批</w:t>
            </w:r>
          </w:p>
          <w:p/>
          <w:p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21"/>
              <w:gridCol w:w="4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52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及时宰杀、严格控制宰杀品质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52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及时宰杀、确保产品质量和安全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52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按照农业农村局畜牧农机中心等监管部门的要求实施生猪屠宰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522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国</w:t>
                  </w:r>
                  <w:r>
                    <w:t>家</w:t>
                  </w:r>
                  <w:r>
                    <w:rPr>
                      <w:rFonts w:hint="eastAsia"/>
                    </w:rPr>
                    <w:t>食品安全</w:t>
                  </w:r>
                  <w:r>
                    <w:t>法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 GB/T19479、GB17236 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  <w:lang w:val="en-US" w:eastAsia="zh-CN"/>
                    </w:rPr>
                    <w:t>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522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1" w:type="dxa"/>
                </w:tcPr>
                <w:p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522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pStyle w:val="7"/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抽取产品和服务要求的评审相关记录名称：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合同/订单评审记录 </w:t>
            </w:r>
            <w:r>
              <w:rPr>
                <w:rFonts w:hint="eastAsia"/>
                <w:highlight w:val="none"/>
                <w:u w:val="single"/>
              </w:rPr>
              <w:t>》</w:t>
            </w:r>
          </w:p>
          <w:tbl>
            <w:tblPr>
              <w:tblStyle w:val="9"/>
              <w:tblW w:w="94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5"/>
              <w:gridCol w:w="1695"/>
              <w:gridCol w:w="1140"/>
              <w:gridCol w:w="1348"/>
              <w:gridCol w:w="2246"/>
              <w:gridCol w:w="16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5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95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140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规格型号</w:t>
                  </w:r>
                </w:p>
              </w:tc>
              <w:tc>
                <w:tcPr>
                  <w:tcW w:w="1348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数量</w:t>
                  </w:r>
                  <w:r>
                    <w:rPr>
                      <w:highlight w:val="none"/>
                    </w:rPr>
                    <w:t>/</w:t>
                  </w:r>
                  <w:r>
                    <w:rPr>
                      <w:rFonts w:hint="eastAsia"/>
                      <w:highlight w:val="none"/>
                    </w:rPr>
                    <w:t>金</w:t>
                  </w:r>
                  <w:r>
                    <w:rPr>
                      <w:highlight w:val="none"/>
                    </w:rPr>
                    <w:t>额</w:t>
                  </w:r>
                </w:p>
              </w:tc>
              <w:tc>
                <w:tcPr>
                  <w:tcW w:w="2246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实际交付日期</w:t>
                  </w:r>
                </w:p>
              </w:tc>
              <w:tc>
                <w:tcPr>
                  <w:tcW w:w="1673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客</w:t>
                  </w:r>
                  <w:r>
                    <w:rPr>
                      <w:highlight w:val="none"/>
                    </w:rPr>
                    <w:t>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5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1-11-04 </w:t>
                  </w:r>
                </w:p>
              </w:tc>
              <w:tc>
                <w:tcPr>
                  <w:tcW w:w="169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生猪屠宰</w:t>
                  </w:r>
                </w:p>
              </w:tc>
              <w:tc>
                <w:tcPr>
                  <w:tcW w:w="1140" w:type="dxa"/>
                </w:tcPr>
                <w:p>
                  <w:pPr>
                    <w:jc w:val="center"/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348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120头</w:t>
                  </w:r>
                </w:p>
              </w:tc>
              <w:tc>
                <w:tcPr>
                  <w:tcW w:w="2246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2021.11.05</w:t>
                  </w:r>
                </w:p>
              </w:tc>
              <w:tc>
                <w:tcPr>
                  <w:tcW w:w="1673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何伟刚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5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1-09-18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生猪屠宰</w:t>
                  </w:r>
                </w:p>
              </w:tc>
              <w:tc>
                <w:tcPr>
                  <w:tcW w:w="1140" w:type="dxa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348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119头</w:t>
                  </w:r>
                </w:p>
              </w:tc>
              <w:tc>
                <w:tcPr>
                  <w:tcW w:w="2246" w:type="dxa"/>
                  <w:vAlign w:val="top"/>
                </w:tcPr>
                <w:p>
                  <w:p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2021-09-20</w:t>
                  </w:r>
                </w:p>
                <w:p>
                  <w:pPr>
                    <w:pStyle w:val="7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已交付</w:t>
                  </w:r>
                </w:p>
              </w:tc>
              <w:tc>
                <w:tcPr>
                  <w:tcW w:w="1673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陈伟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9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4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348" w:type="dxa"/>
                </w:tcPr>
                <w:p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2246" w:type="dxa"/>
                </w:tcPr>
                <w:p>
                  <w:pPr>
                    <w:ind w:firstLine="420" w:firstLineChars="200"/>
                    <w:rPr>
                      <w:highlight w:val="yellow"/>
                    </w:rPr>
                  </w:pPr>
                </w:p>
              </w:tc>
              <w:tc>
                <w:tcPr>
                  <w:tcW w:w="1673" w:type="dxa"/>
                </w:tcPr>
                <w:p>
                  <w:pPr>
                    <w:ind w:firstLine="420" w:firstLineChars="200"/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很多量小客户未签订合同，现场沟通了解客户订单已完成。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与先前合同或订单的要求存在差异，有关事项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已得到解决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未解决，说明</w:t>
            </w:r>
            <w:r>
              <w:rPr>
                <w:rFonts w:hint="eastAsia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对顾客没有提供形成文件的要求，在接受顾客要求前应对顾客要求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进行确认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未进行确认，说明</w:t>
            </w:r>
            <w:r>
              <w:rPr>
                <w:rFonts w:hint="eastAsia"/>
                <w:highlight w:val="none"/>
                <w:u w:val="single"/>
              </w:rPr>
              <w:t xml:space="preserve">                                </w:t>
            </w:r>
            <w:r>
              <w:rPr>
                <w:rFonts w:hint="eastAsia"/>
                <w:highlight w:val="none"/>
              </w:rPr>
              <w:t xml:space="preserve">。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网上销售——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已存在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不存在 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不适用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pStyle w:val="7"/>
              <w:rPr>
                <w:rFonts w:hint="eastAsia"/>
                <w:highlight w:val="none"/>
                <w:lang w:eastAsia="zh-CN"/>
              </w:rPr>
            </w:pP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查看公司网站的产品信息，如产品目录：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不适用）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具备提供产品或服务的能力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不具备提供产品或服务的能力</w:t>
            </w: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产品和服务要求的更改</w:t>
            </w:r>
          </w:p>
          <w:p/>
        </w:tc>
        <w:tc>
          <w:tcPr>
            <w:tcW w:w="922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Q8.2.4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8" w:type="dxa"/>
            <w:vMerge w:val="continue"/>
            <w:shd w:val="clear" w:color="auto" w:fill="auto"/>
          </w:tcPr>
          <w:p/>
        </w:tc>
        <w:tc>
          <w:tcPr>
            <w:tcW w:w="922" w:type="dxa"/>
            <w:gridSpan w:val="2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变更的内容：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数量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交期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□技术要求（图纸、工艺）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交付方式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包装形式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>
            <w:r>
              <w:rPr>
                <w:rFonts w:hint="eastAsia"/>
              </w:rPr>
              <w:t>变更的原因：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顾客需求变化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原材料</w:t>
            </w:r>
            <w:r>
              <w:rPr>
                <w:rFonts w:hint="eastAsia"/>
              </w:rPr>
              <w:t xml:space="preserve">供货不足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法律</w:t>
            </w:r>
            <w:r>
              <w:rPr>
                <w:rFonts w:hint="eastAsia"/>
              </w:rPr>
              <w:t xml:space="preserve">法规限制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抽取产品和服务变更相关记录名称：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近一年</w:t>
            </w:r>
            <w:r>
              <w:rPr>
                <w:rFonts w:hint="eastAsia"/>
                <w:u w:val="single"/>
              </w:rPr>
              <w:t>以来，未发生变更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3075"/>
              <w:gridCol w:w="1429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3075" w:type="dxa"/>
                </w:tcPr>
                <w:p>
                  <w:r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429" w:type="dxa"/>
                </w:tcPr>
                <w:p>
                  <w:r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传递到相关人员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</w:tcPr>
          <w:p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906" w:type="dxa"/>
            <w:vMerge w:val="restart"/>
          </w:tcPr>
          <w:p>
            <w:r>
              <w:rPr>
                <w:rFonts w:hint="eastAsia"/>
              </w:rPr>
              <w:t>Q8.4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管理程序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不合格品控制程序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14" w:type="dxa"/>
            <w:gridSpan w:val="2"/>
            <w:vMerge w:val="continue"/>
          </w:tcPr>
          <w:p/>
        </w:tc>
        <w:tc>
          <w:tcPr>
            <w:tcW w:w="906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产品检测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运输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val="en-US" w:eastAsia="zh-CN"/>
              </w:rPr>
              <w:t xml:space="preserve">虫害控制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lang w:eastAsia="zh-CN"/>
              </w:rPr>
              <w:t>——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</w:p>
          <w:p>
            <w:pPr>
              <w:pStyle w:val="2"/>
              <w:spacing w:line="360" w:lineRule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公司经营特点：主要以客户上门委托屠宰为主，涉及的生猪由客户提供，经驻场兽医检疫合格；方可入厂进行宰杀，见“检验室”审核记录；采购主要负责辅料等的采购；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从《合格</w:t>
            </w:r>
            <w:r>
              <w:rPr>
                <w:rFonts w:hint="eastAsia"/>
                <w:lang w:eastAsia="zh-CN"/>
              </w:rPr>
              <w:t>供货商信息记录表</w:t>
            </w:r>
            <w:r>
              <w:rPr>
                <w:rFonts w:hint="eastAsia"/>
              </w:rPr>
              <w:t>》中抽取下列证据：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新外部供方的初始评价和选择要求——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抽查新外部供方的评价记录名称：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合格供方名单</w:t>
            </w:r>
            <w:r>
              <w:rPr>
                <w:rFonts w:hint="eastAsia"/>
                <w:u w:val="single"/>
              </w:rPr>
              <w:t xml:space="preserve">  》</w:t>
            </w:r>
            <w:r>
              <w:rPr>
                <w:rFonts w:hint="eastAsia"/>
                <w:u w:val="single"/>
                <w:lang w:val="en-US" w:eastAsia="zh-CN"/>
              </w:rPr>
              <w:t>合格供方5家，随机抽取:</w:t>
            </w:r>
          </w:p>
          <w:p>
            <w:pPr>
              <w:rPr>
                <w:rFonts w:hint="eastAsia"/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北京明日达科技发展有限责任公司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非洲猪瘟病毒荧光PCR核酸检测试剂盒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91110108102113233N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兽药经营学许可证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（2020）兽药生产证字01068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印刷经营许可证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 其他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:—兽用生物制品生产与检验报告，报告编号BGSCP2021015;报告日期：2021-07-13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满足合格供方要求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/>
          <w:p/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北京维德维康生物技术有限公司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克伦莱克沙丁三联快速检测卡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9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111101086796241695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兽药经营学许可证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（2016）兽药经营证字01003095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克伦莱克沙丁三联快速检测卡复合报告，符合单位：中国农业大学国家兽药残留基准实验室，符合率100%，日期：2021-04-07；</w:t>
                  </w:r>
                </w:p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三门县民生医药器材有限公司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兽用一次性采血盛血器 5mL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>9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13310227047030463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医疗器械经营许可证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浙台食药监械经营许20160092号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——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成品检验报告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u w:val="single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p/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同时还抽查了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虫害控制服务  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武义佳家环保科技有限公司  </w:t>
            </w:r>
            <w:r>
              <w:rPr>
                <w:rFonts w:hint="eastAsia"/>
                <w:highlight w:val="none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甲紫 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河北健宁药业有限公司 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XXX 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XXXXX </w:t>
            </w:r>
            <w:r>
              <w:rPr>
                <w:rFonts w:hint="eastAsia"/>
                <w:highlight w:val="none"/>
              </w:rPr>
              <w:t>；与上述供方评价和选择控制情况。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一致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不充分，说明： </w:t>
            </w:r>
            <w:r>
              <w:rPr>
                <w:rFonts w:hint="eastAsia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产品运输：客户自提 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4" w:type="dxa"/>
            <w:gridSpan w:val="2"/>
            <w:vMerge w:val="continue"/>
          </w:tcPr>
          <w:p/>
        </w:tc>
        <w:tc>
          <w:tcPr>
            <w:tcW w:w="906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在生产现场和库房确认有是否有是从非合格供方处采购的材料。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没有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</w:tcPr>
          <w:p>
            <w:r>
              <w:rPr>
                <w:rFonts w:hint="eastAsia"/>
              </w:rPr>
              <w:t>控制类型和程度</w:t>
            </w:r>
          </w:p>
          <w:p/>
          <w:p/>
        </w:tc>
        <w:tc>
          <w:tcPr>
            <w:tcW w:w="906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Q8.4.2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管理程序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2214" w:type="dxa"/>
            <w:gridSpan w:val="2"/>
            <w:vMerge w:val="continue"/>
          </w:tcPr>
          <w:p/>
        </w:tc>
        <w:tc>
          <w:tcPr>
            <w:tcW w:w="906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对供方控制的类型和程度要求：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/>
          <w:p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供方评调查表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北京维德维康生物技术有限公司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克伦莱克沙丁三联快速检测卡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/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北京明日达科技发展有限责任公司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非洲猪瘟病毒荧光PCR核酸检测试剂盒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同时还抽查了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XXX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XXXX公司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XXX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XXXX公司    </w:t>
            </w:r>
            <w:r>
              <w:rPr>
                <w:rFonts w:hint="eastAsia"/>
              </w:rPr>
              <w:t>；与上述供方评价和选择控制情况。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提供给外部供方的信息</w:t>
            </w:r>
          </w:p>
        </w:tc>
        <w:tc>
          <w:tcPr>
            <w:tcW w:w="906" w:type="dxa"/>
            <w:vMerge w:val="restart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Q8.4.3 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F7.4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Q7.4</w:t>
            </w: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手册8</w:t>
            </w:r>
            <w:r>
              <w:rPr>
                <w:highlight w:val="none"/>
              </w:rPr>
              <w:t>.4</w:t>
            </w:r>
            <w:r>
              <w:rPr>
                <w:rFonts w:hint="eastAsia"/>
                <w:highlight w:val="none"/>
              </w:rPr>
              <w:t>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《采购</w:t>
            </w:r>
            <w:r>
              <w:rPr>
                <w:rFonts w:hint="eastAsia"/>
                <w:highlight w:val="none"/>
                <w:lang w:val="en-US" w:eastAsia="zh-CN"/>
              </w:rPr>
              <w:t>管理程序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highlight w:val="none"/>
                <w:lang w:eastAsia="zh-CN"/>
              </w:rPr>
              <w:t>》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4" w:type="dxa"/>
            <w:gridSpan w:val="2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906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在与外部供方沟通之前，所确定的要求是：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充分适宜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不充分适宜，说明： </w:t>
            </w:r>
            <w:r>
              <w:rPr>
                <w:rFonts w:hint="eastAsia"/>
                <w:highlight w:val="none"/>
                <w:u w:val="single"/>
              </w:rPr>
              <w:t xml:space="preserve">         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公司经营特点：主要以客户上门委托屠宰为主，涉及的生猪由客户提供；辅料辅料采购不定进行集中采购，近期未发生，下次审核关注。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strike/>
                <w:dstrike w:val="0"/>
                <w:highlight w:val="none"/>
              </w:rPr>
            </w:pPr>
            <w:r>
              <w:rPr>
                <w:rFonts w:hint="eastAsia"/>
                <w:strike/>
                <w:dstrike w:val="0"/>
                <w:highlight w:val="none"/>
              </w:rPr>
              <w:t>抽查</w:t>
            </w:r>
            <w:bookmarkStart w:id="0" w:name="_Hlk55997104"/>
            <w:r>
              <w:rPr>
                <w:rFonts w:hint="eastAsia"/>
                <w:strike/>
                <w:dstrike w:val="0"/>
                <w:highlight w:val="none"/>
              </w:rPr>
              <w:t>《采购合同》及《采购计划》</w:t>
            </w:r>
            <w:bookmarkEnd w:id="0"/>
            <w:r>
              <w:rPr>
                <w:rFonts w:hint="eastAsia"/>
                <w:strike/>
                <w:dstrike w:val="0"/>
                <w:highlight w:val="none"/>
              </w:rPr>
              <w:t>。组织与外部供方沟通以下要求：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2178"/>
              <w:gridCol w:w="1893"/>
              <w:gridCol w:w="19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采购订单号/日期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93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过程、产品和服务名称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31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过程、产品和服务要求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31" w:type="dxa"/>
                </w:tcPr>
                <w:p>
                  <w:pPr>
                    <w:rPr>
                      <w:rFonts w:hint="default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 xml:space="preserve">产品和服务批准； 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eastAsia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方法、过程和设备的批准；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产品和服务的放行的批准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能力，包括所要求的人员资格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eastAsia" w:eastAsia="宋体"/>
                      <w:strike/>
                      <w:dstrike w:val="0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外部供方与组织的互动；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组织使用的外部供方绩效的控制和监视；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default" w:eastAsia="宋体"/>
                      <w:strike/>
                      <w:dstrike w:val="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组织或其顾客拟在外部供方</w:t>
                  </w:r>
                </w:p>
                <w:p>
                  <w:pPr>
                    <w:rPr>
                      <w:strike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/>
                      <w:dstrike w:val="0"/>
                      <w:highlight w:val="none"/>
                    </w:rPr>
                    <w:t>实施的验证或确认活动。</w:t>
                  </w:r>
                </w:p>
              </w:tc>
              <w:tc>
                <w:tcPr>
                  <w:tcW w:w="2178" w:type="dxa"/>
                </w:tcPr>
                <w:p>
                  <w:pPr>
                    <w:rPr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strike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2178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893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1931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交付后的活动</w:t>
            </w:r>
          </w:p>
        </w:tc>
        <w:tc>
          <w:tcPr>
            <w:tcW w:w="922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Q8.5.5 </w:t>
            </w: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手册8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顾客要求评审程序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服务管理程序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)</w:instrText>
            </w:r>
            <w:r>
              <w:rPr>
                <w:rFonts w:ascii="宋体" w:hAnsi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highlight w:val="none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98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922" w:type="dxa"/>
            <w:gridSpan w:val="2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pStyle w:val="7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经沟通，顾客无特殊的食品安全要求。</w:t>
            </w:r>
          </w:p>
          <w:p>
            <w:pPr>
              <w:pStyle w:val="7"/>
              <w:ind w:left="0" w:leftChars="0"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交付过程：顾客根据需要，每批拉生猪到厂进行屠宰，屠宰结束，经检验合格后，客户自提；见生产部审核记录</w:t>
            </w: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交付后服务的内容：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技术咨询/培训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安装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调试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维修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</w:instrText>
            </w:r>
            <w:r>
              <w:rPr>
                <w:rFonts w:hint="eastAsia"/>
                <w:highlight w:val="none"/>
              </w:rPr>
              <w:instrText xml:space="preserve">eq \o\ac(□)</w:instrText>
            </w:r>
            <w:r>
              <w:rPr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三包（包退、包换、包修）</w:t>
            </w:r>
          </w:p>
          <w:p>
            <w:pPr>
              <w:ind w:firstLine="1890" w:firstLineChars="9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回收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最终报废处置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/>
                <w:highlight w:val="none"/>
                <w:lang w:eastAsia="zh-CN"/>
              </w:rPr>
              <w:t>——</w:t>
            </w:r>
            <w:r>
              <w:rPr>
                <w:rFonts w:hint="eastAsia"/>
                <w:highlight w:val="none"/>
                <w:lang w:val="en-US" w:eastAsia="zh-CN"/>
              </w:rPr>
              <w:t xml:space="preserve">退换货   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/>
                <w:highlight w:val="none"/>
                <w:lang w:eastAsia="zh-CN"/>
              </w:rPr>
              <w:t>—</w:t>
            </w:r>
            <w:r>
              <w:rPr>
                <w:rFonts w:hint="eastAsia"/>
                <w:highlight w:val="none"/>
                <w:lang w:val="en-US" w:eastAsia="zh-CN"/>
              </w:rPr>
              <w:t>屠宰质量的反馈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抽取交付后的活动控制相关记录名称：《  </w:t>
            </w:r>
            <w:r>
              <w:rPr>
                <w:rFonts w:hint="eastAsia"/>
                <w:highlight w:val="none"/>
                <w:lang w:val="en-US" w:eastAsia="zh-CN"/>
              </w:rPr>
              <w:t>近一年以来未发生顾客反馈/投诉情况</w:t>
            </w:r>
            <w:r>
              <w:rPr>
                <w:rFonts w:hint="eastAsia"/>
                <w:highlight w:val="non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pStyle w:val="7"/>
              <w:ind w:left="0" w:leftChars="0" w:firstLine="0" w:firstLineChars="0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98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顾客满意</w:t>
            </w:r>
          </w:p>
        </w:tc>
        <w:tc>
          <w:tcPr>
            <w:tcW w:w="922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Q9.1.2</w:t>
            </w: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《顾客满意</w:t>
            </w:r>
            <w:r>
              <w:rPr>
                <w:rFonts w:hint="eastAsia"/>
                <w:highlight w:val="none"/>
                <w:lang w:val="en-US" w:eastAsia="zh-CN"/>
              </w:rPr>
              <w:t>度测量</w:t>
            </w:r>
            <w:r>
              <w:rPr>
                <w:rFonts w:hint="eastAsia"/>
                <w:highlight w:val="none"/>
              </w:rPr>
              <w:t>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)</w:instrText>
            </w:r>
            <w:r>
              <w:rPr>
                <w:rFonts w:ascii="宋体" w:hAnsi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highlight w:val="none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98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22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color w:val="000000"/>
                <w:szCs w:val="18"/>
                <w:highlight w:val="none"/>
              </w:rPr>
              <w:t>自管理体系建立后/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，顾客满意的收集、分析和改进证据如下：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1120"/>
              <w:gridCol w:w="2453"/>
              <w:gridCol w:w="35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顾客满意获取方法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获取周期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评价概述或结果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顾客调查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highlight w:val="none"/>
                    </w:rPr>
                    <w:t>份问卷；收回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highlight w:val="none"/>
                    </w:rPr>
                    <w:t>份 ，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顾客满意度调查表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》</w:t>
                  </w:r>
                </w:p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结果：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比较满意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在肉品安全、服务态度方面还需改进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顾客对交付产品或服务的反馈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每批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顾客座谈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年底进行还未发生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市场占有率分析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顾客赞扬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随时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没有发生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担保索赔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每批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经销商报告</w:t>
                  </w:r>
                </w:p>
              </w:tc>
              <w:tc>
                <w:tcPr>
                  <w:tcW w:w="11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2453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355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yellow"/>
              </w:rPr>
            </w:pP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7678420</wp:posOffset>
              </wp:positionH>
              <wp:positionV relativeFrom="paragraph">
                <wp:posOffset>194310</wp:posOffset>
              </wp:positionV>
              <wp:extent cx="1497965" cy="256540"/>
              <wp:effectExtent l="0" t="0" r="635" b="1016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6pt;margin-top:15.3pt;height:20.2pt;width:117.95pt;z-index:251660288;mso-width-relative:page;mso-height-relative:page;" fillcolor="#FFFFFF" filled="t" stroked="f" coordsize="21600,21600" o:gfxdata="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mi8V/2AAAAAsBAAAPAAAAAAAAAAEAIAAAACIAAABkcnMvZG93bnJl&#10;di54bWxQSwECFAAUAAAACACHTuJA7dtsHcQBAAB3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-20320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B79E3"/>
    <w:rsid w:val="000E3204"/>
    <w:rsid w:val="000E6B21"/>
    <w:rsid w:val="00122075"/>
    <w:rsid w:val="00171679"/>
    <w:rsid w:val="001773AF"/>
    <w:rsid w:val="001A2D7F"/>
    <w:rsid w:val="001A51B0"/>
    <w:rsid w:val="001F36D0"/>
    <w:rsid w:val="00210204"/>
    <w:rsid w:val="00221B13"/>
    <w:rsid w:val="00241DEF"/>
    <w:rsid w:val="00243015"/>
    <w:rsid w:val="0027309B"/>
    <w:rsid w:val="002939AD"/>
    <w:rsid w:val="002C664E"/>
    <w:rsid w:val="00305BEA"/>
    <w:rsid w:val="00314AF6"/>
    <w:rsid w:val="00337922"/>
    <w:rsid w:val="00340867"/>
    <w:rsid w:val="00355667"/>
    <w:rsid w:val="00362B03"/>
    <w:rsid w:val="00380837"/>
    <w:rsid w:val="003A198A"/>
    <w:rsid w:val="003D08C9"/>
    <w:rsid w:val="00410914"/>
    <w:rsid w:val="0048201E"/>
    <w:rsid w:val="004B5C09"/>
    <w:rsid w:val="004C0B44"/>
    <w:rsid w:val="00536930"/>
    <w:rsid w:val="00564E53"/>
    <w:rsid w:val="00565EE9"/>
    <w:rsid w:val="005B5BD8"/>
    <w:rsid w:val="005D5659"/>
    <w:rsid w:val="00600C20"/>
    <w:rsid w:val="0063353F"/>
    <w:rsid w:val="00644FE2"/>
    <w:rsid w:val="00646668"/>
    <w:rsid w:val="0067640C"/>
    <w:rsid w:val="00681BAF"/>
    <w:rsid w:val="00690136"/>
    <w:rsid w:val="006E33B6"/>
    <w:rsid w:val="006E678B"/>
    <w:rsid w:val="006E7B1D"/>
    <w:rsid w:val="007115EB"/>
    <w:rsid w:val="007757F3"/>
    <w:rsid w:val="007C1B48"/>
    <w:rsid w:val="007E3B15"/>
    <w:rsid w:val="007E6AEB"/>
    <w:rsid w:val="00826637"/>
    <w:rsid w:val="00851CEC"/>
    <w:rsid w:val="008973EE"/>
    <w:rsid w:val="00921913"/>
    <w:rsid w:val="009532DC"/>
    <w:rsid w:val="00971600"/>
    <w:rsid w:val="00972F81"/>
    <w:rsid w:val="009973B4"/>
    <w:rsid w:val="009C28C1"/>
    <w:rsid w:val="009E6741"/>
    <w:rsid w:val="009F486D"/>
    <w:rsid w:val="009F7EED"/>
    <w:rsid w:val="00A31DEF"/>
    <w:rsid w:val="00A557F6"/>
    <w:rsid w:val="00A80636"/>
    <w:rsid w:val="00AA760D"/>
    <w:rsid w:val="00AF0AAB"/>
    <w:rsid w:val="00B5672F"/>
    <w:rsid w:val="00B835FE"/>
    <w:rsid w:val="00BB72B1"/>
    <w:rsid w:val="00BF597E"/>
    <w:rsid w:val="00C51A36"/>
    <w:rsid w:val="00C55228"/>
    <w:rsid w:val="00C579AA"/>
    <w:rsid w:val="00C63768"/>
    <w:rsid w:val="00CB3731"/>
    <w:rsid w:val="00CD141B"/>
    <w:rsid w:val="00CD5FC0"/>
    <w:rsid w:val="00CE315A"/>
    <w:rsid w:val="00D06F59"/>
    <w:rsid w:val="00D8388C"/>
    <w:rsid w:val="00DC5FE3"/>
    <w:rsid w:val="00DD53EE"/>
    <w:rsid w:val="00DD601F"/>
    <w:rsid w:val="00DD7454"/>
    <w:rsid w:val="00DE3E05"/>
    <w:rsid w:val="00E2733D"/>
    <w:rsid w:val="00E6224C"/>
    <w:rsid w:val="00E82C36"/>
    <w:rsid w:val="00E848FE"/>
    <w:rsid w:val="00E97B0A"/>
    <w:rsid w:val="00EB0164"/>
    <w:rsid w:val="00ED0F62"/>
    <w:rsid w:val="00EF6744"/>
    <w:rsid w:val="00F8074F"/>
    <w:rsid w:val="00FC1366"/>
    <w:rsid w:val="00FF72CC"/>
    <w:rsid w:val="01212A83"/>
    <w:rsid w:val="01260C71"/>
    <w:rsid w:val="012D092D"/>
    <w:rsid w:val="01D274B5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C6170"/>
    <w:rsid w:val="050D3D1E"/>
    <w:rsid w:val="05107A08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767210"/>
    <w:rsid w:val="08851DD7"/>
    <w:rsid w:val="08C22483"/>
    <w:rsid w:val="08ED1EE8"/>
    <w:rsid w:val="08FB4323"/>
    <w:rsid w:val="09005957"/>
    <w:rsid w:val="096333C5"/>
    <w:rsid w:val="09933EF9"/>
    <w:rsid w:val="09AA0CA5"/>
    <w:rsid w:val="09EF285E"/>
    <w:rsid w:val="09FA6045"/>
    <w:rsid w:val="0A0F142E"/>
    <w:rsid w:val="0A147CC9"/>
    <w:rsid w:val="0A1C56C1"/>
    <w:rsid w:val="0A3B44BE"/>
    <w:rsid w:val="0A904067"/>
    <w:rsid w:val="0ACA6ED2"/>
    <w:rsid w:val="0ACE51B6"/>
    <w:rsid w:val="0AEF4D8D"/>
    <w:rsid w:val="0B5A6731"/>
    <w:rsid w:val="0BE64DFF"/>
    <w:rsid w:val="0BFB50F5"/>
    <w:rsid w:val="0C5423F7"/>
    <w:rsid w:val="0C8009B8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112C5A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80220E"/>
    <w:rsid w:val="15BC540D"/>
    <w:rsid w:val="16210B83"/>
    <w:rsid w:val="16583F2B"/>
    <w:rsid w:val="169D3E09"/>
    <w:rsid w:val="16AB3CAD"/>
    <w:rsid w:val="16E341B9"/>
    <w:rsid w:val="16F10A78"/>
    <w:rsid w:val="16F60A4C"/>
    <w:rsid w:val="17226BDD"/>
    <w:rsid w:val="17446813"/>
    <w:rsid w:val="176D1242"/>
    <w:rsid w:val="177551EA"/>
    <w:rsid w:val="179B1D36"/>
    <w:rsid w:val="17C079EC"/>
    <w:rsid w:val="17F76BA3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975B8D"/>
    <w:rsid w:val="1BF54651"/>
    <w:rsid w:val="1C392A3A"/>
    <w:rsid w:val="1CB1322F"/>
    <w:rsid w:val="1D171355"/>
    <w:rsid w:val="1D1B443C"/>
    <w:rsid w:val="1D4D4A00"/>
    <w:rsid w:val="1D7A3AD2"/>
    <w:rsid w:val="1DC4038A"/>
    <w:rsid w:val="1DF36090"/>
    <w:rsid w:val="1DFE25B1"/>
    <w:rsid w:val="1E1D5C58"/>
    <w:rsid w:val="1E511FFA"/>
    <w:rsid w:val="1E752FA2"/>
    <w:rsid w:val="1E9A57F3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03038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7B12FA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74354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7D3F5C"/>
    <w:rsid w:val="31B477DB"/>
    <w:rsid w:val="31B67BE2"/>
    <w:rsid w:val="31CA71DD"/>
    <w:rsid w:val="324E5138"/>
    <w:rsid w:val="325906DB"/>
    <w:rsid w:val="328B2DCA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4B6092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227AA7"/>
    <w:rsid w:val="3B31777F"/>
    <w:rsid w:val="3B4241C0"/>
    <w:rsid w:val="3B5F0280"/>
    <w:rsid w:val="3BEE1D6F"/>
    <w:rsid w:val="3BF1473C"/>
    <w:rsid w:val="3CA475E5"/>
    <w:rsid w:val="3CA717F2"/>
    <w:rsid w:val="3CC56579"/>
    <w:rsid w:val="3D600DA0"/>
    <w:rsid w:val="3DAB460B"/>
    <w:rsid w:val="3DDA7DB2"/>
    <w:rsid w:val="3E342793"/>
    <w:rsid w:val="3E3C5235"/>
    <w:rsid w:val="3E872D9B"/>
    <w:rsid w:val="3EA34B57"/>
    <w:rsid w:val="3EEF1E6E"/>
    <w:rsid w:val="3F654598"/>
    <w:rsid w:val="3FDD27F6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5F6217"/>
    <w:rsid w:val="45635AEC"/>
    <w:rsid w:val="45911437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8171BF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CE84F66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953BE7"/>
    <w:rsid w:val="53C354C8"/>
    <w:rsid w:val="53F51637"/>
    <w:rsid w:val="54124FEF"/>
    <w:rsid w:val="541C4B67"/>
    <w:rsid w:val="543656F9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C358C"/>
    <w:rsid w:val="601E0F43"/>
    <w:rsid w:val="60596F8D"/>
    <w:rsid w:val="608075E1"/>
    <w:rsid w:val="60E9316D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7E745F"/>
    <w:rsid w:val="64A537DD"/>
    <w:rsid w:val="64B96E85"/>
    <w:rsid w:val="64BB6795"/>
    <w:rsid w:val="64C36B3C"/>
    <w:rsid w:val="64D069A0"/>
    <w:rsid w:val="64E375F7"/>
    <w:rsid w:val="64EC1190"/>
    <w:rsid w:val="64F27E75"/>
    <w:rsid w:val="65067C78"/>
    <w:rsid w:val="65662197"/>
    <w:rsid w:val="658C1A47"/>
    <w:rsid w:val="658C79F9"/>
    <w:rsid w:val="65A33DF6"/>
    <w:rsid w:val="65BE04E1"/>
    <w:rsid w:val="65F429F0"/>
    <w:rsid w:val="665A6FDB"/>
    <w:rsid w:val="66B368AE"/>
    <w:rsid w:val="66B47BD2"/>
    <w:rsid w:val="66B532F3"/>
    <w:rsid w:val="66C2760F"/>
    <w:rsid w:val="66E93B58"/>
    <w:rsid w:val="675A3B6C"/>
    <w:rsid w:val="67791A4D"/>
    <w:rsid w:val="67AF7DB6"/>
    <w:rsid w:val="680564C6"/>
    <w:rsid w:val="681B3F7A"/>
    <w:rsid w:val="68233428"/>
    <w:rsid w:val="68B54AF7"/>
    <w:rsid w:val="68CA009F"/>
    <w:rsid w:val="68DC0EF8"/>
    <w:rsid w:val="68DD04C8"/>
    <w:rsid w:val="695B5920"/>
    <w:rsid w:val="69B35A0D"/>
    <w:rsid w:val="69CC607C"/>
    <w:rsid w:val="69EA1163"/>
    <w:rsid w:val="69F96768"/>
    <w:rsid w:val="6A287F98"/>
    <w:rsid w:val="6A715206"/>
    <w:rsid w:val="6AB40496"/>
    <w:rsid w:val="6ABD1D5E"/>
    <w:rsid w:val="6AF33939"/>
    <w:rsid w:val="6B795D62"/>
    <w:rsid w:val="6B9149FE"/>
    <w:rsid w:val="6BC747F5"/>
    <w:rsid w:val="6BD35CE4"/>
    <w:rsid w:val="6C3014BE"/>
    <w:rsid w:val="6C5D414F"/>
    <w:rsid w:val="6C761A36"/>
    <w:rsid w:val="6CA324B4"/>
    <w:rsid w:val="6CDE17FD"/>
    <w:rsid w:val="6D1159BD"/>
    <w:rsid w:val="6D1D2C91"/>
    <w:rsid w:val="6D232D3C"/>
    <w:rsid w:val="6D2F5D1E"/>
    <w:rsid w:val="6D792112"/>
    <w:rsid w:val="6E641038"/>
    <w:rsid w:val="6EBD0EA6"/>
    <w:rsid w:val="6F104060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342BE7"/>
    <w:rsid w:val="79826449"/>
    <w:rsid w:val="79D339B9"/>
    <w:rsid w:val="7A200C95"/>
    <w:rsid w:val="7A594332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3462</Characters>
  <Lines>28</Lines>
  <Paragraphs>8</Paragraphs>
  <TotalTime>0</TotalTime>
  <ScaleCrop>false</ScaleCrop>
  <LinksUpToDate>false</LinksUpToDate>
  <CharactersWithSpaces>4061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2021-12-09T05:58:12Z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FE604F9BE68B48AC80284D7173A02E0B</vt:lpwstr>
  </property>
</Properties>
</file>