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1261-2021-Q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成都迈卡利特新材料有限公司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91510100MA61RMUQXE</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r>
              <w:rPr>
                <w:rFonts w:hint="eastAsia"/>
                <w:sz w:val="22"/>
                <w:szCs w:val="22"/>
                <w:lang w:eastAsia="zh-CN"/>
              </w:rPr>
              <w:t>□</w:t>
            </w:r>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15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lang w:eastAsia="zh-CN"/>
              </w:rPr>
              <w:t>☑</w:t>
            </w:r>
            <w:r>
              <w:rPr>
                <w:rFonts w:hint="eastAsia"/>
                <w:b/>
                <w:color w:val="000000" w:themeColor="text1"/>
                <w:sz w:val="22"/>
                <w:szCs w:val="22"/>
              </w:rPr>
              <w:t>认证范围变更（□扩大</w:t>
            </w:r>
            <w:r>
              <w:rPr>
                <w:rFonts w:hint="eastAsia"/>
                <w:b/>
                <w:color w:val="000000" w:themeColor="text1"/>
                <w:sz w:val="22"/>
                <w:szCs w:val="22"/>
                <w:lang w:eastAsia="zh-CN"/>
              </w:rPr>
              <w:t>☑</w:t>
            </w:r>
            <w:r>
              <w:rPr>
                <w:rFonts w:hint="eastAsia"/>
                <w:b/>
                <w:color w:val="000000" w:themeColor="text1"/>
                <w:sz w:val="22"/>
                <w:szCs w:val="22"/>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公司名称</w:t>
            </w:r>
          </w:p>
        </w:tc>
        <w:tc>
          <w:tcPr>
            <w:tcW w:w="3373" w:type="dxa"/>
            <w:vMerge w:val="restart"/>
          </w:tcPr>
          <w:p>
            <w:pPr>
              <w:snapToGrid w:val="0"/>
              <w:spacing w:line="0" w:lineRule="atLeast"/>
              <w:jc w:val="left"/>
              <w:rPr>
                <w:color w:val="000000" w:themeColor="text1"/>
                <w:sz w:val="22"/>
                <w:szCs w:val="22"/>
                <w:lang w:val="en-GB"/>
                <w14:textFill>
                  <w14:solidFill>
                    <w14:schemeClr w14:val="tx1"/>
                  </w14:solidFill>
                </w14:textFill>
              </w:rPr>
            </w:pPr>
            <w:bookmarkStart w:id="16" w:name="组织名称Add1"/>
            <w:r>
              <w:rPr>
                <w:rFonts w:hint="eastAsia"/>
                <w:color w:val="000000" w:themeColor="text1"/>
                <w:sz w:val="22"/>
                <w:szCs w:val="22"/>
                <w14:textFill>
                  <w14:solidFill>
                    <w14:schemeClr w14:val="tx1"/>
                  </w14:solidFill>
                </w14:textFill>
              </w:rPr>
              <w:t>成都迈卡利特新材料有限公司</w:t>
            </w:r>
            <w:bookmarkEnd w:id="16"/>
          </w:p>
        </w:tc>
        <w:tc>
          <w:tcPr>
            <w:tcW w:w="5013" w:type="dxa"/>
            <w:gridSpan w:val="4"/>
            <w:vMerge w:val="restart"/>
          </w:tcPr>
          <w:p>
            <w:pPr>
              <w:snapToGrid w:val="0"/>
              <w:spacing w:line="0" w:lineRule="atLeast"/>
              <w:jc w:val="left"/>
              <w:rPr>
                <w:color w:val="000000" w:themeColor="text1"/>
                <w:sz w:val="22"/>
                <w:szCs w:val="22"/>
                <w14:textFill>
                  <w14:solidFill>
                    <w14:schemeClr w14:val="tx1"/>
                  </w14:solidFill>
                </w14:textFill>
              </w:rPr>
            </w:pPr>
            <w:bookmarkStart w:id="17" w:name="审核范围"/>
            <w:r>
              <w:rPr>
                <w:color w:val="000000" w:themeColor="text1"/>
                <w:sz w:val="22"/>
                <w:szCs w:val="22"/>
                <w14:textFill>
                  <w14:solidFill>
                    <w14:schemeClr w14:val="tx1"/>
                  </w14:solidFill>
                </w14:textFill>
              </w:rPr>
              <w:t>KH系列砂型</w:t>
            </w:r>
            <w:bookmarkStart w:id="20" w:name="_GoBack"/>
            <w:bookmarkEnd w:id="20"/>
            <w:r>
              <w:rPr>
                <w:color w:val="000000" w:themeColor="text1"/>
                <w:sz w:val="22"/>
                <w:szCs w:val="22"/>
                <w14:textFill>
                  <w14:solidFill>
                    <w14:schemeClr w14:val="tx1"/>
                  </w14:solidFill>
                </w14:textFill>
              </w:rPr>
              <w:t>铸造用涂料及辅料的销售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lang w:val="en-GB"/>
                <w14:textFill>
                  <w14:solidFill>
                    <w14:schemeClr w14:val="tx1"/>
                  </w14:solidFill>
                </w14:textFill>
              </w:rPr>
              <w:t>注册地址</w:t>
            </w:r>
          </w:p>
        </w:tc>
        <w:tc>
          <w:tcPr>
            <w:tcW w:w="3373" w:type="dxa"/>
          </w:tcPr>
          <w:p>
            <w:pPr>
              <w:snapToGrid w:val="0"/>
              <w:spacing w:line="0" w:lineRule="atLeast"/>
              <w:jc w:val="left"/>
              <w:rPr>
                <w:color w:val="000000" w:themeColor="text1"/>
                <w:sz w:val="22"/>
                <w:szCs w:val="22"/>
                <w14:textFill>
                  <w14:solidFill>
                    <w14:schemeClr w14:val="tx1"/>
                  </w14:solidFill>
                </w14:textFill>
              </w:rPr>
            </w:pPr>
            <w:bookmarkStart w:id="18" w:name="注册地址"/>
            <w:r>
              <w:rPr>
                <w:rFonts w:hint="eastAsia"/>
                <w:color w:val="000000" w:themeColor="text1"/>
                <w:sz w:val="22"/>
                <w:szCs w:val="22"/>
                <w:lang w:val="en-GB"/>
                <w14:textFill>
                  <w14:solidFill>
                    <w14:schemeClr w14:val="tx1"/>
                  </w14:solidFill>
                </w14:textFill>
              </w:rPr>
              <w:t>中国（四川）自由贸易试验区成都高新区府城大道西段399号7栋3单元3层307</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color w:val="000000" w:themeColor="text1"/>
                <w:sz w:val="22"/>
                <w:szCs w:val="22"/>
                <w:lang w:val="en-GB"/>
                <w14:textFill>
                  <w14:solidFill>
                    <w14:schemeClr w14:val="tx1"/>
                  </w14:solidFill>
                </w14:textFill>
              </w:rPr>
            </w:pPr>
            <w:r>
              <w:rPr>
                <w:rFonts w:hint="eastAsia"/>
                <w:color w:val="000000" w:themeColor="text1"/>
                <w:sz w:val="22"/>
                <w:szCs w:val="22"/>
                <w:lang w:val="en-GB"/>
                <w14:textFill>
                  <w14:solidFill>
                    <w14:schemeClr w14:val="tx1"/>
                  </w14:solidFill>
                </w14:textFill>
              </w:rPr>
              <w:t>经营地址</w:t>
            </w:r>
          </w:p>
        </w:tc>
        <w:tc>
          <w:tcPr>
            <w:tcW w:w="3373" w:type="dxa"/>
          </w:tcPr>
          <w:p>
            <w:pPr>
              <w:snapToGrid w:val="0"/>
              <w:spacing w:line="0" w:lineRule="atLeast"/>
              <w:jc w:val="left"/>
              <w:rPr>
                <w:color w:val="000000" w:themeColor="text1"/>
                <w:sz w:val="22"/>
                <w:szCs w:val="22"/>
                <w14:textFill>
                  <w14:solidFill>
                    <w14:schemeClr w14:val="tx1"/>
                  </w14:solidFill>
                </w14:textFill>
              </w:rPr>
            </w:pPr>
            <w:bookmarkStart w:id="19" w:name="办公地址"/>
            <w:r>
              <w:rPr>
                <w:rFonts w:hint="eastAsia"/>
                <w:color w:val="000000" w:themeColor="text1"/>
                <w:sz w:val="22"/>
                <w:szCs w:val="22"/>
                <w:lang w:val="en-GB"/>
                <w14:textFill>
                  <w14:solidFill>
                    <w14:schemeClr w14:val="tx1"/>
                  </w14:solidFill>
                </w14:textFill>
              </w:rPr>
              <w:t>成都双流九江大井社区74号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rFonts w:cs="Arial"/>
                <w:b/>
                <w:bCs/>
                <w:color w:val="000000" w:themeColor="text1"/>
                <w:sz w:val="22"/>
                <w:szCs w:val="16"/>
                <w14:textFill>
                  <w14:solidFill>
                    <w14:schemeClr w14:val="tx1"/>
                  </w14:solidFill>
                </w14:textFill>
              </w:rPr>
              <w:t>Company Name</w:t>
            </w:r>
            <w:r>
              <w:rPr>
                <w:rFonts w:hint="eastAsia"/>
                <w:color w:val="000000" w:themeColor="text1"/>
                <w:sz w:val="22"/>
                <w:szCs w:val="22"/>
                <w:lang w:val="en-GB"/>
                <w14:textFill>
                  <w14:solidFill>
                    <w14:schemeClr w14:val="tx1"/>
                  </w14:solidFill>
                </w14:textFill>
              </w:rPr>
              <w:t>公司名称</w:t>
            </w:r>
          </w:p>
        </w:tc>
        <w:tc>
          <w:tcPr>
            <w:tcW w:w="3373" w:type="dxa"/>
            <w:vMerge w:val="restart"/>
          </w:tcPr>
          <w:p>
            <w:pPr>
              <w:snapToGrid w:val="0"/>
              <w:spacing w:line="0" w:lineRule="atLeast"/>
              <w:jc w:val="left"/>
              <w:rPr>
                <w:color w:val="000000" w:themeColor="text1"/>
                <w:sz w:val="22"/>
                <w:szCs w:val="22"/>
                <w14:textFill>
                  <w14:solidFill>
                    <w14:schemeClr w14:val="tx1"/>
                  </w14:solidFill>
                </w14:textFill>
              </w:rPr>
            </w:pPr>
          </w:p>
        </w:tc>
        <w:tc>
          <w:tcPr>
            <w:tcW w:w="1337" w:type="dxa"/>
          </w:tcPr>
          <w:p>
            <w:pPr>
              <w:snapToGrid w:val="0"/>
              <w:spacing w:line="0" w:lineRule="atLeast"/>
              <w:jc w:val="lef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QMS/EcMS</w:t>
            </w:r>
          </w:p>
        </w:tc>
        <w:tc>
          <w:tcPr>
            <w:tcW w:w="3676" w:type="dxa"/>
            <w:gridSpan w:val="3"/>
          </w:tcPr>
          <w:p>
            <w:pPr>
              <w:snapToGrid w:val="0"/>
              <w:spacing w:line="0" w:lineRule="atLeast"/>
              <w:jc w:val="left"/>
              <w:rPr>
                <w:color w:val="000000" w:themeColor="text1"/>
                <w:sz w:val="2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3373"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000000" w:themeColor="text1"/>
                <w:sz w:val="22"/>
                <w:szCs w:val="22"/>
                <w14:textFill>
                  <w14:solidFill>
                    <w14:schemeClr w14:val="tx1"/>
                  </w14:solidFill>
                </w14:textFill>
              </w:rPr>
            </w:pPr>
            <w:r>
              <w:rPr>
                <w:color w:val="000000" w:themeColor="text1"/>
                <w:sz w:val="22"/>
                <w:szCs w:val="16"/>
                <w14:textFill>
                  <w14:solidFill>
                    <w14:schemeClr w14:val="tx1"/>
                  </w14:solidFill>
                </w14:textFill>
              </w:rPr>
              <w:fldChar w:fldCharType="begin"/>
            </w:r>
            <w:r>
              <w:rPr>
                <w:color w:val="000000" w:themeColor="text1"/>
                <w:sz w:val="22"/>
                <w:szCs w:val="16"/>
                <w:lang w:val="en-GB"/>
                <w14:textFill>
                  <w14:solidFill>
                    <w14:schemeClr w14:val="tx1"/>
                  </w14:solidFill>
                </w14:textFill>
              </w:rPr>
              <w:instrText xml:space="preserve"> STYLEREF TM_street \* MERGEFORMAT </w:instrText>
            </w:r>
            <w:r>
              <w:rPr>
                <w:color w:val="000000" w:themeColor="text1"/>
                <w:sz w:val="22"/>
                <w:szCs w:val="16"/>
                <w14:textFill>
                  <w14:solidFill>
                    <w14:schemeClr w14:val="tx1"/>
                  </w14:solidFill>
                </w14:textFill>
              </w:rPr>
              <w:fldChar w:fldCharType="separate"/>
            </w:r>
            <w:r>
              <w:rPr>
                <w:color w:val="000000" w:themeColor="text1"/>
                <w:sz w:val="22"/>
                <w:szCs w:val="16"/>
                <w14:textFill>
                  <w14:solidFill>
                    <w14:schemeClr w14:val="tx1"/>
                  </w14:solidFill>
                </w14:textFill>
              </w:rPr>
              <w:fldChar w:fldCharType="end"/>
            </w:r>
            <w:r>
              <w:rPr>
                <w:rFonts w:cs="Arial"/>
                <w:b/>
                <w:bCs/>
                <w:color w:val="000000" w:themeColor="text1"/>
                <w:sz w:val="22"/>
                <w:szCs w:val="16"/>
                <w14:textFill>
                  <w14:solidFill>
                    <w14:schemeClr w14:val="tx1"/>
                  </w14:solidFill>
                </w14:textFill>
              </w:rPr>
              <w:t>Registration Address</w:t>
            </w:r>
            <w:r>
              <w:rPr>
                <w:rFonts w:hint="eastAsia"/>
                <w:color w:val="000000" w:themeColor="text1"/>
                <w:sz w:val="22"/>
                <w:szCs w:val="22"/>
                <w:lang w:val="en-GB"/>
                <w14:textFill>
                  <w14:solidFill>
                    <w14:schemeClr w14:val="tx1"/>
                  </w14:solidFill>
                </w14:textFill>
              </w:rPr>
              <w:t>注册地址</w:t>
            </w:r>
          </w:p>
        </w:tc>
        <w:tc>
          <w:tcPr>
            <w:tcW w:w="3373" w:type="dxa"/>
            <w:vMerge w:val="restart"/>
          </w:tcPr>
          <w:p>
            <w:pPr>
              <w:snapToGrid w:val="0"/>
              <w:spacing w:line="0" w:lineRule="atLeast"/>
              <w:jc w:val="left"/>
              <w:rPr>
                <w:color w:val="000000" w:themeColor="text1"/>
                <w:sz w:val="22"/>
                <w:szCs w:val="22"/>
                <w14:textFill>
                  <w14:solidFill>
                    <w14:schemeClr w14:val="tx1"/>
                  </w14:solidFill>
                </w14:textFill>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000000" w:themeColor="text1"/>
                <w:sz w:val="22"/>
                <w:szCs w:val="16"/>
                <w14:textFill>
                  <w14:solidFill>
                    <w14:schemeClr w14:val="tx1"/>
                  </w14:solidFill>
                </w14:textFill>
              </w:rPr>
            </w:pPr>
          </w:p>
        </w:tc>
        <w:tc>
          <w:tcPr>
            <w:tcW w:w="3373" w:type="dxa"/>
            <w:vMerge w:val="continue"/>
          </w:tcPr>
          <w:p>
            <w:pPr>
              <w:snapToGrid w:val="0"/>
              <w:spacing w:line="0" w:lineRule="atLeast"/>
              <w:jc w:val="left"/>
              <w:rPr>
                <w:rFonts w:cs="Arial"/>
                <w:b/>
                <w:bCs/>
                <w:color w:val="000000" w:themeColor="text1"/>
                <w:sz w:val="22"/>
                <w:szCs w:val="16"/>
                <w14:textFill>
                  <w14:solidFill>
                    <w14:schemeClr w14:val="tx1"/>
                  </w14:solidFill>
                </w14:textFill>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000000" w:themeColor="text1"/>
                <w:sz w:val="22"/>
                <w:szCs w:val="22"/>
                <w:lang w:val="en-GB"/>
                <w14:textFill>
                  <w14:solidFill>
                    <w14:schemeClr w14:val="tx1"/>
                  </w14:solidFill>
                </w14:textFill>
              </w:rPr>
            </w:pPr>
            <w:r>
              <w:rPr>
                <w:rFonts w:cs="Arial"/>
                <w:b/>
                <w:bCs/>
                <w:color w:val="000000" w:themeColor="text1"/>
                <w:sz w:val="22"/>
                <w:szCs w:val="16"/>
                <w14:textFill>
                  <w14:solidFill>
                    <w14:schemeClr w14:val="tx1"/>
                  </w14:solidFill>
                </w14:textFill>
              </w:rPr>
              <w:t>Operation Address</w:t>
            </w:r>
            <w:r>
              <w:rPr>
                <w:rFonts w:hint="eastAsia"/>
                <w:color w:val="000000" w:themeColor="text1"/>
                <w:sz w:val="22"/>
                <w:szCs w:val="22"/>
                <w14:textFill>
                  <w14:solidFill>
                    <w14:schemeClr w14:val="tx1"/>
                  </w14:solidFill>
                </w14:textFill>
              </w:rPr>
              <w:t>经营</w:t>
            </w:r>
            <w:r>
              <w:rPr>
                <w:rFonts w:hint="eastAsia"/>
                <w:color w:val="000000" w:themeColor="text1"/>
                <w:sz w:val="22"/>
                <w:szCs w:val="22"/>
                <w:lang w:val="en-GB"/>
                <w14:textFill>
                  <w14:solidFill>
                    <w14:schemeClr w14:val="tx1"/>
                  </w14:solidFill>
                </w14:textFill>
              </w:rPr>
              <w:t>地址</w:t>
            </w:r>
          </w:p>
        </w:tc>
        <w:tc>
          <w:tcPr>
            <w:tcW w:w="3373" w:type="dxa"/>
            <w:vMerge w:val="restart"/>
          </w:tcPr>
          <w:p>
            <w:pPr>
              <w:snapToGrid w:val="0"/>
              <w:spacing w:line="0" w:lineRule="atLeast"/>
              <w:jc w:val="left"/>
              <w:rPr>
                <w:color w:val="000000" w:themeColor="text1"/>
                <w:sz w:val="22"/>
                <w:szCs w:val="22"/>
                <w14:textFill>
                  <w14:solidFill>
                    <w14:schemeClr w14:val="tx1"/>
                  </w14:solidFill>
                </w14:textFill>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031F64"/>
    <w:rsid w:val="224E6250"/>
    <w:rsid w:val="25FE70E6"/>
    <w:rsid w:val="39566A35"/>
    <w:rsid w:val="4FD14C30"/>
    <w:rsid w:val="5A3166CD"/>
    <w:rsid w:val="656C403D"/>
    <w:rsid w:val="78242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2021-12-04T13:09:20Z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