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rFonts w:ascii="宋体" w:hAnsi="宋体"/>
          <w:szCs w:val="21"/>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bookmarkStart w:id="4" w:name="EnMS勾选"/>
      <w:r>
        <w:rPr>
          <w:rFonts w:hint="eastAsia"/>
          <w:b/>
          <w:sz w:val="22"/>
          <w:szCs w:val="22"/>
        </w:rPr>
        <w:t>□</w:t>
      </w:r>
      <w:bookmarkEnd w:id="4"/>
      <w:r>
        <w:rPr>
          <w:rFonts w:hint="eastAsia"/>
          <w:b/>
          <w:sz w:val="22"/>
          <w:szCs w:val="22"/>
        </w:rPr>
        <w:t>EnMS</w:t>
      </w:r>
      <w:bookmarkStart w:id="5" w:name="F勾选"/>
      <w:r>
        <w:rPr>
          <w:rFonts w:hint="eastAsia"/>
          <w:b/>
          <w:sz w:val="22"/>
          <w:szCs w:val="22"/>
        </w:rPr>
        <w:t>□</w:t>
      </w:r>
      <w:bookmarkEnd w:id="5"/>
      <w:r>
        <w:rPr>
          <w:rFonts w:hint="eastAsia"/>
          <w:b/>
          <w:sz w:val="22"/>
          <w:szCs w:val="22"/>
        </w:rPr>
        <w:t xml:space="preserve">FSMS </w:t>
      </w:r>
      <w:bookmarkStart w:id="6" w:name="H勾选"/>
      <w:r>
        <w:rPr>
          <w:rFonts w:hint="eastAsia"/>
          <w:b/>
          <w:sz w:val="22"/>
          <w:szCs w:val="22"/>
        </w:rPr>
        <w:t>□</w:t>
      </w:r>
      <w:bookmarkEnd w:id="6"/>
      <w:r>
        <w:rPr>
          <w:rFonts w:hint="eastAsia"/>
          <w:b/>
          <w:sz w:val="22"/>
          <w:szCs w:val="22"/>
        </w:rPr>
        <w:t>HACCP</w:t>
      </w:r>
    </w:p>
    <w:p>
      <w:pPr>
        <w:snapToGrid w:val="0"/>
        <w:spacing w:after="120" w:afterLines="50" w:line="320" w:lineRule="exact"/>
        <w:jc w:val="center"/>
        <w:rPr>
          <w:rFonts w:eastAsia="隶书"/>
          <w:b/>
          <w:sz w:val="22"/>
          <w:szCs w:val="22"/>
        </w:rPr>
      </w:pP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340"/>
        <w:gridCol w:w="1119"/>
        <w:gridCol w:w="568"/>
        <w:gridCol w:w="846"/>
        <w:gridCol w:w="365"/>
        <w:gridCol w:w="300"/>
        <w:gridCol w:w="423"/>
        <w:gridCol w:w="201"/>
        <w:gridCol w:w="1504"/>
        <w:gridCol w:w="128"/>
        <w:gridCol w:w="62"/>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50"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3621" w:type="dxa"/>
            <w:gridSpan w:val="6"/>
            <w:tcBorders>
              <w:top w:val="single" w:color="auto" w:sz="8" w:space="0"/>
            </w:tcBorders>
            <w:vAlign w:val="center"/>
          </w:tcPr>
          <w:p>
            <w:pPr>
              <w:snapToGrid w:val="0"/>
              <w:spacing w:line="280" w:lineRule="exact"/>
              <w:jc w:val="center"/>
              <w:rPr>
                <w:b/>
                <w:sz w:val="20"/>
              </w:rPr>
            </w:pPr>
            <w:bookmarkStart w:id="7" w:name="组织名称"/>
            <w:r>
              <w:rPr>
                <w:b/>
                <w:sz w:val="20"/>
              </w:rPr>
              <w:t>北京祥和园林绿化工程有限公司</w:t>
            </w:r>
            <w:bookmarkEnd w:id="7"/>
          </w:p>
        </w:tc>
        <w:tc>
          <w:tcPr>
            <w:tcW w:w="1833" w:type="dxa"/>
            <w:gridSpan w:val="3"/>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2969" w:type="dxa"/>
            <w:gridSpan w:val="3"/>
            <w:tcBorders>
              <w:top w:val="single" w:color="auto" w:sz="8" w:space="0"/>
            </w:tcBorders>
            <w:vAlign w:val="center"/>
          </w:tcPr>
          <w:p>
            <w:pPr>
              <w:snapToGrid w:val="0"/>
              <w:spacing w:line="280" w:lineRule="exact"/>
              <w:ind w:left="52"/>
              <w:jc w:val="center"/>
              <w:rPr>
                <w:b/>
                <w:sz w:val="20"/>
              </w:rPr>
            </w:pPr>
            <w:bookmarkStart w:id="8" w:name="专业代码"/>
            <w:r>
              <w:rPr>
                <w:b/>
                <w:sz w:val="20"/>
              </w:rPr>
              <w:t>Q：32.15.03;35.17.00</w:t>
            </w:r>
          </w:p>
          <w:p>
            <w:pPr>
              <w:snapToGrid w:val="0"/>
              <w:spacing w:line="280" w:lineRule="exact"/>
              <w:ind w:left="52"/>
              <w:jc w:val="center"/>
              <w:rPr>
                <w:b/>
                <w:sz w:val="20"/>
              </w:rPr>
            </w:pPr>
            <w:r>
              <w:rPr>
                <w:b/>
                <w:sz w:val="20"/>
              </w:rPr>
              <w:t>E：32.15.03;35.17.00</w:t>
            </w:r>
          </w:p>
          <w:p>
            <w:pPr>
              <w:snapToGrid w:val="0"/>
              <w:spacing w:line="280" w:lineRule="exact"/>
              <w:ind w:left="52"/>
              <w:jc w:val="center"/>
              <w:rPr>
                <w:b/>
                <w:sz w:val="20"/>
              </w:rPr>
            </w:pPr>
            <w:r>
              <w:rPr>
                <w:b/>
                <w:sz w:val="20"/>
              </w:rPr>
              <w:t>O：32.15.03;35.17.00</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50" w:type="dxa"/>
            <w:gridSpan w:val="2"/>
            <w:vAlign w:val="center"/>
          </w:tcPr>
          <w:p>
            <w:pPr>
              <w:snapToGrid w:val="0"/>
              <w:spacing w:line="280" w:lineRule="exact"/>
              <w:jc w:val="center"/>
              <w:rPr>
                <w:b/>
                <w:sz w:val="22"/>
                <w:szCs w:val="22"/>
              </w:rPr>
            </w:pPr>
            <w:r>
              <w:rPr>
                <w:rFonts w:hint="eastAsia"/>
                <w:b/>
                <w:sz w:val="22"/>
                <w:szCs w:val="22"/>
              </w:rPr>
              <w:t>教师姓名</w:t>
            </w:r>
          </w:p>
        </w:tc>
        <w:tc>
          <w:tcPr>
            <w:tcW w:w="1687" w:type="dxa"/>
            <w:gridSpan w:val="2"/>
            <w:vAlign w:val="center"/>
          </w:tcPr>
          <w:p>
            <w:pPr>
              <w:snapToGrid w:val="0"/>
              <w:spacing w:line="280" w:lineRule="exact"/>
              <w:jc w:val="center"/>
              <w:rPr>
                <w:rFonts w:hint="eastAsia" w:eastAsia="宋体"/>
                <w:b/>
                <w:sz w:val="20"/>
                <w:lang w:val="en-US" w:eastAsia="zh-CN"/>
              </w:rPr>
            </w:pPr>
            <w:r>
              <w:rPr>
                <w:rFonts w:ascii="宋体" w:hAnsi="宋体" w:cs="宋体"/>
                <w:color w:val="000000"/>
                <w:kern w:val="0"/>
                <w:szCs w:val="21"/>
              </w:rPr>
              <w:t>李京田</w:t>
            </w:r>
            <w:r>
              <w:rPr>
                <w:rFonts w:hint="eastAsia" w:ascii="宋体" w:hAnsi="宋体" w:cs="宋体"/>
                <w:color w:val="000000"/>
                <w:kern w:val="0"/>
                <w:szCs w:val="21"/>
                <w:lang w:val="en-US" w:eastAsia="zh-CN"/>
              </w:rPr>
              <w:t>/</w:t>
            </w:r>
            <w:r>
              <w:rPr>
                <w:rFonts w:ascii="宋体" w:hAnsi="宋体" w:cs="宋体"/>
                <w:color w:val="000000"/>
                <w:kern w:val="0"/>
                <w:szCs w:val="21"/>
              </w:rPr>
              <w:t>王钰</w:t>
            </w:r>
          </w:p>
        </w:tc>
        <w:tc>
          <w:tcPr>
            <w:tcW w:w="1211" w:type="dxa"/>
            <w:gridSpan w:val="2"/>
            <w:vAlign w:val="center"/>
          </w:tcPr>
          <w:p>
            <w:pPr>
              <w:snapToGrid w:val="0"/>
              <w:spacing w:line="280" w:lineRule="exact"/>
              <w:jc w:val="center"/>
              <w:rPr>
                <w:b/>
                <w:sz w:val="22"/>
                <w:szCs w:val="22"/>
              </w:rPr>
            </w:pPr>
            <w:r>
              <w:rPr>
                <w:rFonts w:hint="eastAsia"/>
                <w:b/>
                <w:sz w:val="22"/>
                <w:szCs w:val="22"/>
              </w:rPr>
              <w:t>专业</w:t>
            </w:r>
          </w:p>
        </w:tc>
        <w:tc>
          <w:tcPr>
            <w:tcW w:w="2428" w:type="dxa"/>
            <w:gridSpan w:val="4"/>
            <w:vAlign w:val="center"/>
          </w:tcPr>
          <w:p>
            <w:pPr>
              <w:snapToGrid w:val="0"/>
              <w:spacing w:line="280" w:lineRule="exact"/>
              <w:ind w:left="52"/>
              <w:jc w:val="center"/>
              <w:rPr>
                <w:b/>
                <w:sz w:val="20"/>
              </w:rPr>
            </w:pPr>
            <w:r>
              <w:rPr>
                <w:b/>
                <w:sz w:val="20"/>
              </w:rPr>
              <w:t>Q：32.15.03;35.17.00</w:t>
            </w:r>
          </w:p>
          <w:p>
            <w:pPr>
              <w:snapToGrid w:val="0"/>
              <w:spacing w:line="280" w:lineRule="exact"/>
              <w:ind w:left="52"/>
              <w:jc w:val="center"/>
              <w:rPr>
                <w:b/>
                <w:sz w:val="20"/>
              </w:rPr>
            </w:pPr>
            <w:r>
              <w:rPr>
                <w:b/>
                <w:sz w:val="20"/>
              </w:rPr>
              <w:t>E：32.15.03;35.17.00</w:t>
            </w:r>
          </w:p>
          <w:p>
            <w:pPr>
              <w:snapToGrid w:val="0"/>
              <w:spacing w:line="280" w:lineRule="exact"/>
              <w:jc w:val="center"/>
              <w:rPr>
                <w:b/>
                <w:sz w:val="20"/>
              </w:rPr>
            </w:pPr>
            <w:r>
              <w:rPr>
                <w:b/>
                <w:sz w:val="20"/>
              </w:rPr>
              <w:t>O：32.15.03;35.17.00</w:t>
            </w:r>
          </w:p>
        </w:tc>
        <w:tc>
          <w:tcPr>
            <w:tcW w:w="1719" w:type="dxa"/>
            <w:gridSpan w:val="3"/>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10"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b/>
                <w:sz w:val="20"/>
              </w:rPr>
            </w:pPr>
            <w:r>
              <w:rPr>
                <w:rFonts w:ascii="宋体" w:hAnsi="宋体" w:cs="宋体"/>
                <w:color w:val="000000"/>
                <w:kern w:val="0"/>
                <w:szCs w:val="21"/>
              </w:rPr>
              <w:t>李京田</w:t>
            </w:r>
          </w:p>
        </w:tc>
        <w:tc>
          <w:tcPr>
            <w:tcW w:w="1414" w:type="dxa"/>
            <w:gridSpan w:val="2"/>
            <w:vAlign w:val="center"/>
          </w:tcPr>
          <w:p>
            <w:pPr>
              <w:snapToGrid w:val="0"/>
              <w:spacing w:line="360" w:lineRule="exact"/>
              <w:jc w:val="center"/>
              <w:rPr>
                <w:b/>
                <w:sz w:val="20"/>
              </w:rPr>
            </w:pPr>
            <w:r>
              <w:rPr>
                <w:rFonts w:ascii="宋体" w:hAnsi="宋体" w:cs="宋体"/>
                <w:color w:val="000000"/>
                <w:kern w:val="0"/>
                <w:szCs w:val="21"/>
              </w:rPr>
              <w:t>李雅静</w:t>
            </w:r>
          </w:p>
        </w:tc>
        <w:tc>
          <w:tcPr>
            <w:tcW w:w="1289" w:type="dxa"/>
            <w:gridSpan w:val="4"/>
            <w:vAlign w:val="center"/>
          </w:tcPr>
          <w:p>
            <w:pPr>
              <w:snapToGrid w:val="0"/>
              <w:spacing w:line="360" w:lineRule="exact"/>
              <w:jc w:val="center"/>
              <w:rPr>
                <w:b/>
                <w:sz w:val="20"/>
              </w:rPr>
            </w:pPr>
            <w:r>
              <w:rPr>
                <w:rFonts w:ascii="宋体" w:hAnsi="宋体" w:cs="宋体"/>
                <w:color w:val="000000"/>
                <w:kern w:val="0"/>
                <w:szCs w:val="21"/>
              </w:rPr>
              <w:t>朱晓丽</w:t>
            </w:r>
          </w:p>
        </w:tc>
        <w:tc>
          <w:tcPr>
            <w:tcW w:w="1504" w:type="dxa"/>
            <w:vAlign w:val="center"/>
          </w:tcPr>
          <w:p>
            <w:pPr>
              <w:snapToGrid w:val="0"/>
              <w:spacing w:line="360" w:lineRule="exact"/>
              <w:jc w:val="center"/>
              <w:rPr>
                <w:b/>
                <w:sz w:val="20"/>
              </w:rPr>
            </w:pPr>
            <w:r>
              <w:rPr>
                <w:rFonts w:ascii="宋体" w:hAnsi="宋体" w:cs="宋体"/>
                <w:color w:val="000000"/>
                <w:kern w:val="0"/>
                <w:szCs w:val="21"/>
              </w:rPr>
              <w:t>夏爱俭</w:t>
            </w:r>
          </w:p>
        </w:tc>
        <w:tc>
          <w:tcPr>
            <w:tcW w:w="1719" w:type="dxa"/>
            <w:gridSpan w:val="3"/>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50"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3" w:type="dxa"/>
            <w:gridSpan w:val="12"/>
            <w:vAlign w:val="center"/>
          </w:tcPr>
          <w:p>
            <w:pPr>
              <w:snapToGrid w:val="0"/>
              <w:spacing w:line="280" w:lineRule="exact"/>
              <w:rPr>
                <w:rFonts w:hint="eastAsia"/>
                <w:b/>
                <w:sz w:val="20"/>
              </w:rPr>
            </w:pPr>
            <w:r>
              <w:rPr>
                <w:rFonts w:hint="eastAsia" w:ascii="Times New Roman" w:hAnsi="Times New Roman" w:eastAsia="宋体" w:cs="Times New Roman"/>
                <w:b/>
                <w:sz w:val="20"/>
              </w:rPr>
              <w:t>城市园林绿化服务</w:t>
            </w:r>
            <w:r>
              <w:rPr>
                <w:rFonts w:hint="eastAsia"/>
                <w:b/>
                <w:sz w:val="20"/>
              </w:rPr>
              <w:t>流程：</w:t>
            </w:r>
          </w:p>
          <w:p>
            <w:pPr>
              <w:snapToGrid w:val="0"/>
              <w:spacing w:line="280" w:lineRule="exact"/>
              <w:rPr>
                <w:rFonts w:hint="eastAsia"/>
                <w:b/>
                <w:sz w:val="20"/>
              </w:rPr>
            </w:pPr>
            <w:r>
              <w:rPr>
                <w:rFonts w:hint="eastAsia"/>
                <w:b/>
                <w:sz w:val="20"/>
              </w:rPr>
              <w:t>客户洽谈→合同签订→材料采购→进场报验→项目施工→过程检验→竣工验收→后期服务。</w:t>
            </w:r>
          </w:p>
          <w:p>
            <w:pPr>
              <w:snapToGrid w:val="0"/>
              <w:spacing w:line="280" w:lineRule="exact"/>
              <w:rPr>
                <w:rFonts w:hint="eastAsia"/>
                <w:b/>
                <w:sz w:val="20"/>
              </w:rPr>
            </w:pPr>
          </w:p>
          <w:p>
            <w:pPr>
              <w:snapToGrid w:val="0"/>
              <w:spacing w:line="280" w:lineRule="exact"/>
              <w:rPr>
                <w:rFonts w:hint="eastAsia"/>
                <w:b/>
                <w:sz w:val="20"/>
              </w:rPr>
            </w:pPr>
            <w:r>
              <w:rPr>
                <w:rFonts w:hint="eastAsia"/>
                <w:b/>
                <w:sz w:val="20"/>
              </w:rPr>
              <w:t>租摆流程：</w:t>
            </w:r>
          </w:p>
          <w:p>
            <w:pPr>
              <w:snapToGrid w:val="0"/>
              <w:spacing w:line="280" w:lineRule="exact"/>
              <w:rPr>
                <w:rFonts w:hint="eastAsia"/>
                <w:b/>
                <w:sz w:val="20"/>
              </w:rPr>
            </w:pPr>
            <w:r>
              <w:rPr>
                <w:rFonts w:hint="eastAsia"/>
                <w:b/>
                <w:sz w:val="20"/>
              </w:rPr>
              <w:t>客户接触----客户需求---客户付款----入帐------市场采购（小、中、大花卉、盆景）-----客户提货-----验收---办理租赁手续----卖方直接送货（小、中、大花卉、盆景）</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50"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3" w:type="dxa"/>
            <w:gridSpan w:val="12"/>
            <w:vAlign w:val="center"/>
          </w:tcPr>
          <w:p>
            <w:pPr>
              <w:snapToGrid w:val="0"/>
              <w:spacing w:line="280" w:lineRule="exact"/>
              <w:rPr>
                <w:rFonts w:hint="default"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特殊过程：</w:t>
            </w:r>
            <w:r>
              <w:rPr>
                <w:rFonts w:hint="eastAsia" w:ascii="Times New Roman" w:hAnsi="Times New Roman" w:eastAsia="宋体" w:cs="Times New Roman"/>
                <w:b/>
                <w:sz w:val="20"/>
              </w:rPr>
              <w:t>园林绿化服务</w:t>
            </w:r>
            <w:r>
              <w:rPr>
                <w:rFonts w:hint="eastAsia" w:ascii="Times New Roman" w:hAnsi="Times New Roman" w:eastAsia="宋体" w:cs="Times New Roman"/>
                <w:b/>
                <w:sz w:val="20"/>
                <w:lang w:val="en-US" w:eastAsia="zh-CN"/>
              </w:rPr>
              <w:t xml:space="preserve">过程  </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苗木管理</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（1）清杂放样</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 xml:space="preserve">1.根据提供的场地实际情况，清理土层表面的杂物垃圾，清除的杂物及时运出场地，回填符合设计要求的种植土从而达到栽培的标准 </w:t>
            </w:r>
            <w:r>
              <w:rPr>
                <w:rFonts w:hint="eastAsia" w:ascii="Times New Roman" w:hAnsi="Times New Roman" w:eastAsia="宋体" w:cs="Times New Roman"/>
                <w:b/>
                <w:sz w:val="20"/>
              </w:rPr>
              <w:br w:type="textWrapping"/>
            </w:r>
            <w:r>
              <w:rPr>
                <w:rFonts w:hint="eastAsia" w:ascii="Times New Roman" w:hAnsi="Times New Roman" w:eastAsia="宋体" w:cs="Times New Roman"/>
                <w:b/>
                <w:sz w:val="20"/>
              </w:rPr>
              <w:t>2.按照规划设计要求及景观植物生长需要，进行适度场地平整、回填、清理至设计制定标高，一般土壤坡度为1%--2%利于排水</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（2）苗木栽植</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1.熟悉图纸，逐一进行校对</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2.挖塘（适用时）</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3.换土</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4.施基肥</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5.扶正 根据规划要求，确保竖直就是苗木梢部与基部垂直</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6.浇水培土</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 xml:space="preserve">（3）整形 </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短剪：剪去枝条的一部分，保留枝条一定长度和一定数量的杆体，对枝体有一定促进作用确保树形效果。</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疏枝：将树冠中间的过密枝条按影响匀称的要求从基部剪去使枝条密度减小，树冠透风透光，减少水分蒸发。</w:t>
            </w:r>
          </w:p>
          <w:p>
            <w:pPr>
              <w:snapToGrid w:val="0"/>
              <w:spacing w:line="280" w:lineRule="exact"/>
              <w:rPr>
                <w:rFonts w:hint="eastAsia" w:ascii="Times New Roman" w:hAnsi="Times New Roman" w:eastAsia="宋体" w:cs="Times New Roman"/>
                <w:b/>
                <w:sz w:val="20"/>
              </w:rPr>
            </w:pPr>
            <w:r>
              <w:rPr>
                <w:rFonts w:hint="eastAsia" w:ascii="Times New Roman" w:hAnsi="Times New Roman" w:eastAsia="宋体" w:cs="Times New Roman"/>
                <w:b/>
                <w:sz w:val="20"/>
              </w:rPr>
              <w:t>苗木支撑：主要程序有制桩、打桩、绑扎、清理</w:t>
            </w:r>
          </w:p>
          <w:p>
            <w:pPr>
              <w:snapToGrid w:val="0"/>
              <w:spacing w:line="280" w:lineRule="exact"/>
              <w:rPr>
                <w:rFonts w:hint="eastAsia" w:ascii="Times New Roman" w:hAnsi="Times New Roman" w:eastAsia="宋体" w:cs="Times New Roman"/>
                <w:b/>
                <w:sz w:val="20"/>
              </w:rPr>
            </w:pP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50"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3" w:type="dxa"/>
            <w:gridSpan w:val="12"/>
            <w:vAlign w:val="center"/>
          </w:tcPr>
          <w:p>
            <w:pPr>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asciiTheme="minorEastAsia" w:hAnsiTheme="minorEastAsia" w:eastAsiaTheme="minorEastAsia"/>
                <w:color w:val="auto"/>
                <w:szCs w:val="21"/>
              </w:rPr>
              <w:t>固体废弃物排放的管控</w:t>
            </w:r>
            <w:r>
              <w:rPr>
                <w:rFonts w:hint="eastAsia" w:asciiTheme="minorEastAsia" w:hAnsiTheme="minorEastAsia" w:eastAsiaTheme="minorEastAsia"/>
                <w:color w:val="auto"/>
                <w:szCs w:val="21"/>
              </w:rPr>
              <w:t>：</w:t>
            </w:r>
          </w:p>
          <w:p>
            <w:pPr>
              <w:pStyle w:val="14"/>
              <w:ind w:firstLine="0" w:firstLineChars="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。办公室负责废弃物的分类、收集、保管、由有资质的市政环卫公司合法拉运、处置。现场分设：可回收一般废弃物、不可回收一般废弃物，员工能按要求分类放置固体废弃物。</w:t>
            </w:r>
          </w:p>
          <w:p>
            <w:pPr>
              <w:pStyle w:val="14"/>
              <w:ind w:firstLine="0" w:firstLineChars="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p>
            <w:pPr>
              <w:pStyle w:val="14"/>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2）废气排放</w:t>
            </w:r>
            <w:r>
              <w:rPr>
                <w:rFonts w:asciiTheme="minorEastAsia" w:hAnsiTheme="minorEastAsia" w:eastAsiaTheme="minorEastAsia"/>
                <w:color w:val="auto"/>
                <w:szCs w:val="21"/>
              </w:rPr>
              <w:t>管控</w:t>
            </w:r>
            <w:r>
              <w:rPr>
                <w:rFonts w:hint="eastAsia" w:asciiTheme="minorEastAsia" w:hAnsiTheme="minorEastAsia" w:eastAsiaTheme="minorEastAsia"/>
                <w:color w:val="auto"/>
                <w:szCs w:val="21"/>
              </w:rPr>
              <w:t>：</w:t>
            </w:r>
          </w:p>
          <w:p>
            <w:pPr>
              <w:pStyle w:val="13"/>
              <w:rPr>
                <w:rFonts w:ascii="楷体" w:hAnsi="楷体" w:eastAsia="楷体" w:cs="楷体"/>
                <w:color w:val="auto"/>
                <w:sz w:val="24"/>
                <w:szCs w:val="24"/>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现场作业在户外，绿化不产生废气，在施工过程中产生少量灰尘，工人佩戴口罩进行防护</w:t>
            </w:r>
          </w:p>
          <w:p>
            <w:pPr>
              <w:pStyle w:val="13"/>
              <w:numPr>
                <w:ilvl w:val="0"/>
                <w:numId w:val="0"/>
              </w:numPr>
              <w:rPr>
                <w:rFonts w:hint="default" w:ascii="宋体"/>
                <w:color w:val="auto"/>
                <w:kern w:val="0"/>
                <w:szCs w:val="21"/>
                <w:highlight w:val="none"/>
                <w:lang w:val="en-US" w:eastAsia="zh-CN"/>
              </w:rPr>
            </w:pPr>
            <w:r>
              <w:rPr>
                <w:rFonts w:hint="eastAsia"/>
                <w:color w:val="auto"/>
                <w:lang w:val="en-US" w:eastAsia="zh-CN"/>
              </w:rPr>
              <w:t>3）环境污染（杀虫剂对土地及空气的污染）</w:t>
            </w:r>
            <w:r>
              <w:rPr>
                <w:rStyle w:val="15"/>
                <w:rFonts w:hint="eastAsia" w:ascii="Arial" w:hAnsi="Arial" w:cs="Arial"/>
                <w:bCs w:val="0"/>
                <w:color w:val="auto"/>
                <w:spacing w:val="0"/>
                <w:shd w:val="clear" w:color="auto" w:fill="FFFFFF"/>
                <w:lang w:val="en-US" w:eastAsia="zh-CN"/>
              </w:rPr>
              <w:t>：杀虫剂等瓶子统一回收，公司员工在施工过程中佩戴口罩，提供人员体检报告，给员工上保险</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50"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3" w:type="dxa"/>
            <w:gridSpan w:val="12"/>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）意外火灾控制</w:t>
            </w:r>
          </w:p>
          <w:p>
            <w:pPr>
              <w:rPr>
                <w:rFonts w:hint="eastAsia" w:asciiTheme="minorEastAsia" w:hAnsiTheme="minorEastAsia" w:eastAsiaTheme="minorEastAsia"/>
                <w:bCs/>
                <w:color w:val="auto"/>
                <w:szCs w:val="21"/>
              </w:rPr>
            </w:pPr>
            <w:r>
              <w:rPr>
                <w:rFonts w:hint="eastAsia" w:asciiTheme="minorEastAsia" w:hAnsiTheme="minorEastAsia" w:eastAsiaTheme="minorEastAsia"/>
                <w:color w:val="auto"/>
                <w:szCs w:val="21"/>
              </w:rPr>
              <w:t xml:space="preserve">   组织的办公区域消防器材配置合理，每辆运输车都配置有灭火器，有灭火器等灭火器材，</w:t>
            </w:r>
            <w:r>
              <w:rPr>
                <w:rFonts w:hint="eastAsia" w:asciiTheme="minorEastAsia" w:hAnsiTheme="minorEastAsia" w:eastAsiaTheme="minorEastAsia"/>
                <w:color w:val="auto"/>
                <w:szCs w:val="21"/>
                <w:lang w:val="en-US" w:eastAsia="zh-CN"/>
              </w:rPr>
              <w:t>远程</w:t>
            </w:r>
            <w:r>
              <w:rPr>
                <w:rFonts w:hint="eastAsia" w:asciiTheme="minorEastAsia" w:hAnsiTheme="minorEastAsia" w:eastAsiaTheme="minorEastAsia"/>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4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13"/>
              <w:rPr>
                <w:rFonts w:hint="eastAsia"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运输</w:t>
            </w:r>
            <w:r>
              <w:rPr>
                <w:rFonts w:hint="eastAsia" w:ascii="宋体"/>
                <w:color w:val="auto"/>
                <w:kern w:val="0"/>
                <w:szCs w:val="21"/>
                <w:highlight w:val="none"/>
              </w:rPr>
              <w:t>部员工定期参加操作规程的培训,并进行了三级安全教育。</w:t>
            </w:r>
          </w:p>
          <w:p>
            <w:pPr>
              <w:snapToGrid w:val="0"/>
              <w:spacing w:line="280" w:lineRule="exact"/>
              <w:jc w:val="center"/>
              <w:rPr>
                <w:rFonts w:ascii="Times New Roman" w:hAnsi="Times New Roman" w:eastAsia="宋体" w:cs="Times New Roman"/>
                <w:b/>
                <w:kern w:val="2"/>
                <w:sz w:val="20"/>
                <w:lang w:val="en-US" w:eastAsia="zh-CN" w:bidi="ar-SA"/>
              </w:rPr>
            </w:pPr>
            <w:r>
              <w:rPr>
                <w:rFonts w:hint="eastAsia" w:ascii="宋体"/>
                <w:color w:val="auto"/>
                <w:kern w:val="0"/>
                <w:szCs w:val="21"/>
                <w:highlight w:val="none"/>
                <w:lang w:val="en-US" w:eastAsia="zh-CN"/>
              </w:rPr>
              <w:t>3）触电：</w:t>
            </w:r>
            <w:r>
              <w:rPr>
                <w:rFonts w:hint="eastAsia" w:ascii="宋体" w:hAnsi="Times New Roman" w:eastAsia="宋体" w:cs="Times New Roman"/>
                <w:bCs/>
                <w:color w:val="auto"/>
                <w:spacing w:val="10"/>
                <w:kern w:val="0"/>
                <w:sz w:val="21"/>
                <w:szCs w:val="21"/>
                <w:highlight w:val="none"/>
                <w:lang w:val="en-US" w:eastAsia="zh-CN" w:bidi="ar-SA"/>
              </w:rPr>
              <w:t>使用手持电动工具时先检查有无电线裸露等安全隐患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50"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3" w:type="dxa"/>
            <w:gridSpan w:val="12"/>
            <w:vAlign w:val="center"/>
          </w:tcPr>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r>
              <w:t>中华人民共和国森林法实施条例</w:t>
            </w:r>
            <w:r>
              <w:tab/>
            </w:r>
            <w:r>
              <w:t>2016年1月13日国务院第119次常务会议</w:t>
            </w:r>
            <w:r>
              <w:tab/>
            </w:r>
            <w:r>
              <w:t>2000年1月29日</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50"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3" w:type="dxa"/>
            <w:gridSpan w:val="12"/>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按照合同及标准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50"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3" w:type="dxa"/>
            <w:gridSpan w:val="12"/>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50"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3198" w:type="dxa"/>
            <w:gridSpan w:val="5"/>
            <w:vAlign w:val="center"/>
          </w:tcPr>
          <w:p>
            <w:pPr>
              <w:snapToGrid w:val="0"/>
              <w:spacing w:line="280" w:lineRule="exact"/>
              <w:jc w:val="center"/>
              <w:rPr>
                <w:b/>
                <w:sz w:val="20"/>
              </w:rPr>
            </w:pPr>
            <w:r>
              <w:drawing>
                <wp:anchor distT="0" distB="0" distL="114300" distR="114300" simplePos="0" relativeHeight="251662336" behindDoc="1" locked="0" layoutInCell="1" allowOverlap="1">
                  <wp:simplePos x="0" y="0"/>
                  <wp:positionH relativeFrom="column">
                    <wp:posOffset>772160</wp:posOffset>
                  </wp:positionH>
                  <wp:positionV relativeFrom="paragraph">
                    <wp:posOffset>80010</wp:posOffset>
                  </wp:positionV>
                  <wp:extent cx="908050" cy="514350"/>
                  <wp:effectExtent l="0" t="0" r="6350" b="6350"/>
                  <wp:wrapNone/>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5"/>
                          <a:stretch>
                            <a:fillRect/>
                          </a:stretch>
                        </pic:blipFill>
                        <pic:spPr>
                          <a:xfrm>
                            <a:off x="0" y="0"/>
                            <a:ext cx="908050" cy="51435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6350</wp:posOffset>
                  </wp:positionH>
                  <wp:positionV relativeFrom="paragraph">
                    <wp:posOffset>73025</wp:posOffset>
                  </wp:positionV>
                  <wp:extent cx="847725" cy="368300"/>
                  <wp:effectExtent l="0" t="0" r="3175"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anchor>
              </w:drawing>
            </w:r>
          </w:p>
        </w:tc>
        <w:tc>
          <w:tcPr>
            <w:tcW w:w="2318" w:type="dxa"/>
            <w:gridSpan w:val="5"/>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rFonts w:hint="default" w:eastAsia="宋体"/>
                <w:b/>
                <w:sz w:val="20"/>
                <w:lang w:val="en-US" w:eastAsia="zh-CN"/>
              </w:rPr>
            </w:pPr>
            <w:bookmarkStart w:id="9" w:name="_GoBack"/>
            <w:bookmarkEnd w:id="9"/>
            <w:r>
              <w:rPr>
                <w:rFonts w:hint="eastAsia"/>
                <w:b/>
                <w:sz w:val="20"/>
                <w:lang w:val="en-US" w:eastAsia="zh-CN"/>
              </w:rPr>
              <w:t>2021.12.13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50"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3198" w:type="dxa"/>
            <w:gridSpan w:val="5"/>
            <w:tcBorders>
              <w:bottom w:val="single" w:color="auto" w:sz="8" w:space="0"/>
            </w:tcBorders>
            <w:vAlign w:val="center"/>
          </w:tcPr>
          <w:p>
            <w:pPr>
              <w:snapToGrid w:val="0"/>
              <w:spacing w:line="280" w:lineRule="exact"/>
              <w:jc w:val="center"/>
              <w:rPr>
                <w:b/>
                <w:sz w:val="20"/>
              </w:rPr>
            </w:pPr>
            <w:r>
              <w:drawing>
                <wp:anchor distT="0" distB="0" distL="114300" distR="114300" simplePos="0" relativeHeight="251661312" behindDoc="1" locked="0" layoutInCell="1" allowOverlap="1">
                  <wp:simplePos x="0" y="0"/>
                  <wp:positionH relativeFrom="column">
                    <wp:posOffset>338455</wp:posOffset>
                  </wp:positionH>
                  <wp:positionV relativeFrom="paragraph">
                    <wp:posOffset>172085</wp:posOffset>
                  </wp:positionV>
                  <wp:extent cx="847725" cy="36830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anchor>
              </w:drawing>
            </w:r>
          </w:p>
        </w:tc>
        <w:tc>
          <w:tcPr>
            <w:tcW w:w="2318" w:type="dxa"/>
            <w:gridSpan w:val="5"/>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r>
              <w:rPr>
                <w:rFonts w:hint="eastAsia"/>
                <w:b/>
                <w:sz w:val="20"/>
                <w:lang w:val="en-US" w:eastAsia="zh-CN"/>
              </w:rPr>
              <w:t>2021.12.13</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sectPr>
      <w:headerReference r:id="rId3" w:type="default"/>
      <w:pgSz w:w="11906" w:h="16838"/>
      <w:pgMar w:top="1134" w:right="1077" w:bottom="1134" w:left="1077" w:header="454"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-140970</wp:posOffset>
          </wp:positionH>
          <wp:positionV relativeFrom="paragraph">
            <wp:posOffset>-107315</wp:posOffset>
          </wp:positionV>
          <wp:extent cx="485775" cy="485775"/>
          <wp:effectExtent l="19050" t="0" r="9525"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48.4pt;margin-top:11.35pt;height:20.2pt;width:109.3pt;z-index:251659264;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single" w:color="auto" w:sz="4" w:space="1"/>
      </w:pBdr>
      <w:spacing w:line="320" w:lineRule="exact"/>
      <w:ind w:firstLine="756" w:firstLineChars="400"/>
      <w:jc w:val="left"/>
      <w:rPr>
        <w:sz w:val="20"/>
      </w:rPr>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FC12DB"/>
    <w:rsid w:val="4445664F"/>
    <w:rsid w:val="64715829"/>
    <w:rsid w:val="6B924B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4"/>
    <w:basedOn w:val="1"/>
    <w:next w:val="1"/>
    <w:qFormat/>
    <w:locked/>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4">
    <w:name w:val="Balloon Text"/>
    <w:basedOn w:val="1"/>
    <w:link w:val="11"/>
    <w:semiHidden/>
    <w:unhideWhenUsed/>
    <w:uiPriority w:val="99"/>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Char"/>
    <w:link w:val="5"/>
    <w:qFormat/>
    <w:locked/>
    <w:uiPriority w:val="99"/>
    <w:rPr>
      <w:rFonts w:ascii="Times New Roman" w:hAnsi="Times New Roman" w:eastAsia="宋体" w:cs="Times New Roman"/>
      <w:sz w:val="18"/>
      <w:szCs w:val="18"/>
    </w:rPr>
  </w:style>
  <w:style w:type="character" w:customStyle="1" w:styleId="10">
    <w:name w:val="页眉 Char"/>
    <w:link w:val="6"/>
    <w:qFormat/>
    <w:locked/>
    <w:uiPriority w:val="99"/>
    <w:rPr>
      <w:rFonts w:ascii="Times New Roman" w:hAnsi="Times New Roman" w:eastAsia="宋体" w:cs="Times New Roman"/>
      <w:sz w:val="18"/>
      <w:szCs w:val="18"/>
    </w:rPr>
  </w:style>
  <w:style w:type="character" w:customStyle="1" w:styleId="11">
    <w:name w:val="批注框文本 Char"/>
    <w:link w:val="4"/>
    <w:semiHidden/>
    <w:qFormat/>
    <w:uiPriority w:val="99"/>
    <w:rPr>
      <w:rFonts w:ascii="Times New Roman" w:hAnsi="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customStyle="1" w:styleId="14">
    <w:name w:val="列出段落2"/>
    <w:basedOn w:val="1"/>
    <w:qFormat/>
    <w:uiPriority w:val="34"/>
    <w:pPr>
      <w:ind w:firstLine="420" w:firstLineChars="200"/>
    </w:pPr>
    <w:rPr>
      <w:rFonts w:ascii="Calibri" w:hAnsi="Calibri"/>
      <w:szCs w:val="22"/>
    </w:rPr>
  </w:style>
  <w:style w:type="character" w:customStyle="1" w:styleId="15">
    <w:name w:val="info-content-text"/>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1506</Words>
  <Characters>1779</Characters>
  <Lines>2</Lines>
  <Paragraphs>1</Paragraphs>
  <TotalTime>1</TotalTime>
  <ScaleCrop>false</ScaleCrop>
  <LinksUpToDate>false</LinksUpToDate>
  <CharactersWithSpaces>1822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2021-12-14T04:20:32Z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B6F9453A380C464F868AB10DFBD55278</vt:lpwstr>
  </property>
  <property fmtid="{D5CDD505-2E9C-101B-9397-08002B2CF9AE}" pid="3" name="KSOProductBuildVer">
    <vt:lpwstr>2052-11.1.0.11045</vt:lpwstr>
  </property>
</Properties>
</file>