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祝涛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</w:t>
            </w:r>
            <w:r>
              <w:rPr>
                <w:rFonts w:hint="eastAsia"/>
                <w:lang w:val="en-US" w:eastAsia="zh-CN"/>
              </w:rPr>
              <w:t>查2021年1-10月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0070C0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新员工上岗培训合格率达到100%;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采购产品合格率达到100%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采购产品合格数/采购次数×100%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监视、测量、分析和评价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管理手册9.1.1章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组织对监视和测量的策划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3"/>
              <w:gridCol w:w="1843"/>
              <w:gridCol w:w="1986"/>
              <w:gridCol w:w="1887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2034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产品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产品（原材料、半成品、成品）检验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见检验计划/规程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☑每批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对产品合格率进行统计，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现场巡视</w:t>
                  </w:r>
                </w:p>
                <w:p>
                  <w:r>
                    <w:rPr>
                      <w:rFonts w:hint="eastAsia"/>
                    </w:rPr>
                    <w:t>抽查记录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定期检查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抽查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对质量目标/Cpk进行统计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内部审核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按年度内审计划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体系有效性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管理评审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顾客满意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问卷调查</w:t>
                  </w:r>
                </w:p>
              </w:tc>
              <w:tc>
                <w:tcPr>
                  <w:tcW w:w="198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887" w:type="dxa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对获得的数据和信息进行分析与评价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 w:themeColor="text1"/>
                <w:szCs w:val="18"/>
              </w:rPr>
              <w:t>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20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5~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《内审计划》：有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名内审员；有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>《内审</w:t>
            </w:r>
            <w:r>
              <w:rPr>
                <w:rFonts w:hint="eastAsia"/>
                <w:color w:val="000000"/>
                <w:szCs w:val="18"/>
              </w:rPr>
              <w:t xml:space="preserve">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</w:t>
            </w:r>
            <w:r>
              <w:rPr>
                <w:rFonts w:hint="eastAsia"/>
                <w:color w:val="000000" w:themeColor="text1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销售部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、生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产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部、质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量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.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财务部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 w:themeColor="text1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☑覆盖了全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7.2，未能提供3月份新入职员工能力的证据。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如：《</w:t>
            </w:r>
            <w:r>
              <w:rPr>
                <w:rFonts w:hint="eastAsia"/>
                <w:color w:val="FF0000"/>
                <w:szCs w:val="22"/>
              </w:rPr>
              <w:t>不合格输出控制程序</w:t>
            </w:r>
            <w:r>
              <w:rPr>
                <w:rFonts w:hint="eastAsia"/>
                <w:color w:val="FF0000"/>
                <w:szCs w:val="22"/>
                <w:lang w:eastAsia="zh-CN"/>
              </w:rPr>
              <w:t>》</w:t>
            </w:r>
            <w:r>
              <w:rPr>
                <w:rFonts w:hint="eastAsia"/>
                <w:color w:val="FF0000"/>
                <w:szCs w:val="22"/>
              </w:rPr>
              <w:t>和</w:t>
            </w:r>
            <w:r>
              <w:rPr>
                <w:rFonts w:hint="eastAsia"/>
                <w:color w:val="FF0000"/>
                <w:szCs w:val="22"/>
                <w:lang w:eastAsia="zh-CN"/>
              </w:rPr>
              <w:t>《</w:t>
            </w:r>
            <w:r>
              <w:rPr>
                <w:rFonts w:hint="eastAsia"/>
                <w:color w:val="FF0000"/>
                <w:szCs w:val="22"/>
              </w:rPr>
              <w:t>不符合与纠正措施控制程序》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不符合的来源：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顾客投诉 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产品质量问题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工作运行中的问题  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 xml:space="preserve">未发生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抽查采取纠正措施相关记录名称：</w:t>
            </w:r>
            <w:r>
              <w:rPr>
                <w:rFonts w:hint="eastAsia"/>
                <w:color w:val="FF0000"/>
                <w:u w:val="single"/>
              </w:rPr>
              <w:t xml:space="preserve">《   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--</w:t>
            </w:r>
            <w:r>
              <w:rPr>
                <w:rFonts w:hint="eastAsia"/>
                <w:color w:val="FF0000"/>
                <w:u w:val="single"/>
              </w:rPr>
              <w:t xml:space="preserve">        》     </w:t>
            </w:r>
          </w:p>
          <w:p>
            <w:pPr>
              <w:rPr>
                <w:color w:val="FF0000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>
                  <w:pPr>
                    <w:rPr>
                      <w:color w:val="FF0000"/>
                    </w:rPr>
                  </w:pPr>
                </w:p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未再次发生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再次发生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285185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B33108"/>
    <w:rsid w:val="2EEE512C"/>
    <w:rsid w:val="2F511B05"/>
    <w:rsid w:val="2F7C571D"/>
    <w:rsid w:val="2FA86B66"/>
    <w:rsid w:val="2FE823A5"/>
    <w:rsid w:val="2FEA1C57"/>
    <w:rsid w:val="300172B8"/>
    <w:rsid w:val="308B250B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C85191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5E0C4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586298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974A1B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8D5612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3</TotalTime>
  <ScaleCrop>false</ScaleCrop>
  <LinksUpToDate>false</LinksUpToDate>
  <CharactersWithSpaces>2261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2021-11-29T08:28:49Z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32CA0C317E2C4979B2B9CCA254F621D4</vt:lpwstr>
  </property>
</Properties>
</file>