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1262-2021-E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650"/>
        <w:gridCol w:w="687"/>
        <w:gridCol w:w="886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0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任丘市鸿通通讯器材有限公司</w:t>
            </w:r>
            <w:bookmarkEnd w:id="1"/>
          </w:p>
        </w:tc>
        <w:tc>
          <w:tcPr>
            <w:tcW w:w="15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0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0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91130982598267374M</w:t>
            </w:r>
            <w:bookmarkEnd w:id="4"/>
          </w:p>
        </w:tc>
        <w:tc>
          <w:tcPr>
            <w:tcW w:w="15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CNAS标志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0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bookmarkStart w:id="5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</w:p>
        </w:tc>
        <w:tc>
          <w:tcPr>
            <w:tcW w:w="15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有效人数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textAlignment w:val="auto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textAlignment w:val="auto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/>
              <w:jc w:val="center"/>
              <w:textAlignment w:val="auto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任丘市鸿通通讯器材有限公司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通讯线路铁件、塑料管材、通讯箱体、井盖、水泥标志桩的生产所涉及场所的相关环境管理活动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任丘市麻家坞镇南马庄村东北侧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任丘市麻家坞镇南马庄村东北侧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Renqiu City Hongtong Communications Equipment Co.,Ltd.</w:t>
            </w:r>
          </w:p>
        </w:tc>
        <w:tc>
          <w:tcPr>
            <w:tcW w:w="1337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1"/>
                <w:szCs w:val="16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The Relative Environment Management Activities about</w:t>
            </w:r>
            <w:r>
              <w:rPr>
                <w:rFonts w:hint="eastAsia" w:ascii="Times New Roman"/>
                <w:bCs/>
                <w:sz w:val="24"/>
                <w:szCs w:val="24"/>
                <w:lang w:val="en-US" w:eastAsia="zh-CN"/>
              </w:rPr>
              <w:t xml:space="preserve"> Processing of 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Communications lines iron,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lastics pipe,Communications cabinets,Well with,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M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onument 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Northeast Side of Nanmazhuang Village,Majiawu Towm,Renqiu City,Hebei Province</w:t>
            </w:r>
          </w:p>
        </w:tc>
        <w:tc>
          <w:tcPr>
            <w:tcW w:w="1337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Northeast Side of Nanmazhuang Village,Majiawu Towm,Renqiu City,Hebei Province</w:t>
            </w:r>
          </w:p>
        </w:tc>
        <w:tc>
          <w:tcPr>
            <w:tcW w:w="1337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0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15" w:name="_GoBack"/>
      <w:bookmarkEnd w:id="15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F302D1"/>
    <w:rsid w:val="6EB17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2021-12-06T05:57:52Z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