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09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ascii="宋体" w:hAnsi="宋体"/>
                <w:sz w:val="24"/>
                <w:lang w:val="en-US" w:eastAsia="zh-CN"/>
              </w:rPr>
              <w:t>姚松柏</w:t>
            </w:r>
            <w:r>
              <w:rPr>
                <w:rFonts w:hint="eastAsia"/>
                <w:sz w:val="24"/>
                <w:szCs w:val="24"/>
              </w:rPr>
              <w:t xml:space="preserve"> </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强兴</w:t>
            </w:r>
            <w:r>
              <w:rPr>
                <w:sz w:val="24"/>
                <w:szCs w:val="24"/>
              </w:rPr>
              <w:t xml:space="preserve">        </w:t>
            </w:r>
            <w:r>
              <w:rPr>
                <w:rFonts w:hint="eastAsia"/>
                <w:sz w:val="24"/>
                <w:szCs w:val="24"/>
              </w:rPr>
              <w:t>审核时间：</w:t>
            </w:r>
            <w:bookmarkStart w:id="0" w:name="审核日期"/>
            <w:r>
              <w:t>202</w:t>
            </w:r>
            <w:r>
              <w:rPr>
                <w:rFonts w:hint="eastAsia"/>
                <w:lang w:val="en-US" w:eastAsia="zh-CN"/>
              </w:rPr>
              <w:t>2</w:t>
            </w:r>
            <w:r>
              <w:t>年</w:t>
            </w:r>
            <w:r>
              <w:rPr>
                <w:rFonts w:hint="eastAsia"/>
                <w:lang w:val="en-US" w:eastAsia="zh-CN"/>
              </w:rPr>
              <w:t>1</w:t>
            </w:r>
            <w:r>
              <w:t>月</w:t>
            </w:r>
            <w:r>
              <w:rPr>
                <w:rFonts w:hint="eastAsia"/>
                <w:lang w:val="en-US" w:eastAsia="zh-CN"/>
              </w:rPr>
              <w:t>3</w:t>
            </w:r>
            <w:r>
              <w:t xml:space="preserve">日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lang w:val="en-US" w:eastAsia="zh-CN"/>
              </w:rPr>
            </w:pPr>
            <w:r>
              <w:rPr>
                <w:rFonts w:hint="eastAsia"/>
                <w:sz w:val="24"/>
                <w:szCs w:val="24"/>
                <w:lang w:val="en-US" w:eastAsia="zh-CN"/>
              </w:rPr>
              <w:t>审核条款：</w:t>
            </w:r>
          </w:p>
          <w:p>
            <w:pPr>
              <w:spacing w:line="280" w:lineRule="exact"/>
              <w:rPr>
                <w:rFonts w:hint="eastAsia" w:cs="Arial" w:asciiTheme="minorEastAsia" w:hAnsiTheme="minorEastAsia" w:eastAsiaTheme="minorEastAsia"/>
                <w:sz w:val="21"/>
                <w:szCs w:val="21"/>
                <w:lang w:val="en-US" w:eastAsia="zh-CN"/>
              </w:rPr>
            </w:pPr>
            <w:r>
              <w:rPr>
                <w:rFonts w:ascii="宋体" w:hAnsi="宋体" w:cs="Arial"/>
                <w:sz w:val="21"/>
                <w:szCs w:val="21"/>
              </w:rPr>
              <w:t>QMS: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r>
              <w:rPr>
                <w:rFonts w:ascii="宋体" w:hAnsi="宋体" w:cs="Arial"/>
                <w:sz w:val="21"/>
                <w:szCs w:val="21"/>
              </w:rPr>
              <w:t>7.1.2</w:t>
            </w:r>
            <w:r>
              <w:rPr>
                <w:rFonts w:hint="eastAsia" w:ascii="宋体" w:hAnsi="宋体" w:cs="Arial"/>
                <w:sz w:val="21"/>
                <w:szCs w:val="21"/>
              </w:rPr>
              <w:t>人员、</w:t>
            </w:r>
            <w:r>
              <w:rPr>
                <w:rFonts w:hint="eastAsia" w:cs="Arial" w:asciiTheme="minorEastAsia" w:hAnsiTheme="minorEastAsia" w:eastAsiaTheme="minorEastAsia"/>
                <w:sz w:val="21"/>
                <w:szCs w:val="21"/>
              </w:rPr>
              <w:t>7.1.6组织知识、7.2能力、7.3意识、</w:t>
            </w:r>
            <w:r>
              <w:rPr>
                <w:rFonts w:ascii="宋体" w:hAnsi="宋体" w:cs="Arial"/>
                <w:sz w:val="21"/>
                <w:szCs w:val="21"/>
              </w:rPr>
              <w:t>7.5.1</w:t>
            </w:r>
            <w:r>
              <w:rPr>
                <w:rFonts w:hint="eastAsia" w:ascii="宋体" w:hAnsi="宋体" w:cs="Arial"/>
                <w:sz w:val="21"/>
                <w:szCs w:val="21"/>
              </w:rPr>
              <w:t>形成文件的信息总则、</w:t>
            </w:r>
            <w:r>
              <w:rPr>
                <w:rFonts w:ascii="宋体" w:hAnsi="宋体" w:cs="Arial"/>
                <w:sz w:val="21"/>
                <w:szCs w:val="21"/>
              </w:rPr>
              <w:t>7.5.2</w:t>
            </w:r>
            <w:r>
              <w:rPr>
                <w:rFonts w:hint="eastAsia" w:ascii="宋体" w:hAnsi="宋体" w:cs="Arial"/>
                <w:sz w:val="21"/>
                <w:szCs w:val="21"/>
              </w:rPr>
              <w:t>形成文件的信息的创建和更新、</w:t>
            </w:r>
            <w:r>
              <w:rPr>
                <w:rFonts w:ascii="宋体" w:hAnsi="宋体" w:cs="Arial"/>
                <w:sz w:val="21"/>
                <w:szCs w:val="21"/>
              </w:rPr>
              <w:t>7.5.3</w:t>
            </w:r>
            <w:r>
              <w:rPr>
                <w:rFonts w:hint="eastAsia" w:ascii="宋体" w:hAnsi="宋体" w:cs="Arial"/>
                <w:sz w:val="21"/>
                <w:szCs w:val="21"/>
              </w:rPr>
              <w:t>形成文件的信息的控制、</w:t>
            </w:r>
            <w:r>
              <w:rPr>
                <w:rFonts w:hint="eastAsia" w:cs="Arial" w:asciiTheme="minorEastAsia" w:hAnsiTheme="minorEastAsia" w:eastAsiaTheme="minorEastAsia"/>
                <w:spacing w:val="-6"/>
                <w:sz w:val="21"/>
                <w:szCs w:val="21"/>
              </w:rPr>
              <w:t>9.1.1监视、测量、分析和评价总则</w:t>
            </w:r>
            <w:r>
              <w:rPr>
                <w:rFonts w:hint="eastAsia" w:cs="Arial" w:asciiTheme="minorEastAsia" w:hAnsiTheme="minorEastAsia" w:eastAsiaTheme="minorEastAsia"/>
                <w:spacing w:val="-6"/>
                <w:sz w:val="21"/>
                <w:szCs w:val="21"/>
                <w:lang w:eastAsia="zh-CN"/>
              </w:rPr>
              <w:t>、</w:t>
            </w:r>
            <w:r>
              <w:rPr>
                <w:rFonts w:hint="eastAsia" w:cs="Arial" w:asciiTheme="minorEastAsia" w:hAnsiTheme="minorEastAsia" w:eastAsiaTheme="minorEastAsia"/>
                <w:sz w:val="21"/>
                <w:szCs w:val="21"/>
              </w:rPr>
              <w:t>9.1.3分析与评价、9.2 内部审核、10.2不合格和纠正措施</w:t>
            </w:r>
            <w:r>
              <w:rPr>
                <w:rFonts w:hint="eastAsia" w:cs="Arial" w:asciiTheme="minorEastAsia" w:hAnsiTheme="minorEastAsia" w:eastAsiaTheme="minorEastAsia"/>
                <w:sz w:val="21"/>
                <w:szCs w:val="21"/>
                <w:lang w:val="en-US" w:eastAsia="zh-CN"/>
              </w:rPr>
              <w:t>.</w:t>
            </w:r>
          </w:p>
          <w:p>
            <w:pPr>
              <w:adjustRightInd w:val="0"/>
              <w:snapToGrid w:val="0"/>
              <w:ind w:right="105" w:rightChars="50"/>
              <w:textAlignment w:val="baseline"/>
              <w:rPr>
                <w:rFonts w:hint="eastAsia" w:ascii="宋体" w:hAnsi="宋体" w:cs="Arial"/>
                <w:sz w:val="18"/>
                <w:szCs w:val="18"/>
              </w:rPr>
            </w:pPr>
            <w:r>
              <w:rPr>
                <w:rFonts w:hint="eastAsia" w:cs="Arial" w:asciiTheme="minorEastAsia" w:hAnsiTheme="minorEastAsia" w:eastAsiaTheme="minorEastAsia"/>
                <w:sz w:val="21"/>
                <w:szCs w:val="21"/>
              </w:rPr>
              <w:t>E/OMS: 5.3组织的岗位、职责和权限、6.1.2环境因素/危险源的辨识与评价、</w:t>
            </w:r>
            <w:r>
              <w:rPr>
                <w:rFonts w:hint="eastAsia" w:ascii="宋体" w:hAnsi="宋体" w:eastAsia="宋体" w:cs="Arial"/>
                <w:spacing w:val="-6"/>
                <w:sz w:val="21"/>
                <w:szCs w:val="21"/>
              </w:rPr>
              <w:t>6.1.3合规义务、6.1.4措施的策划</w:t>
            </w:r>
            <w:r>
              <w:rPr>
                <w:rFonts w:hint="eastAsia" w:ascii="宋体" w:hAnsi="宋体" w:eastAsia="宋体" w:cs="Arial"/>
                <w:spacing w:val="-6"/>
                <w:sz w:val="21"/>
                <w:szCs w:val="21"/>
                <w:lang w:eastAsia="zh-CN"/>
              </w:rPr>
              <w:t>、</w:t>
            </w:r>
            <w:r>
              <w:rPr>
                <w:rFonts w:hint="eastAsia" w:cs="Arial" w:asciiTheme="minorEastAsia" w:hAnsiTheme="minorEastAsia" w:eastAsiaTheme="minorEastAsia"/>
                <w:sz w:val="21"/>
                <w:szCs w:val="21"/>
              </w:rPr>
              <w:t>6.2.1环境/职业健康安全目标、6.2.2实现环境/职业健康安全目标措施的策划、7.2能力、7.3意识、</w:t>
            </w:r>
            <w:r>
              <w:rPr>
                <w:rFonts w:hint="eastAsia" w:ascii="宋体" w:hAnsi="宋体" w:eastAsia="宋体" w:cs="Arial"/>
                <w:spacing w:val="-6"/>
                <w:sz w:val="21"/>
                <w:szCs w:val="21"/>
              </w:rPr>
              <w:t>7.4沟通/信息交流、</w:t>
            </w:r>
            <w:r>
              <w:rPr>
                <w:rFonts w:hint="eastAsia" w:cs="Arial" w:asciiTheme="minorEastAsia" w:hAnsiTheme="minorEastAsia" w:eastAsiaTheme="minorEastAsia"/>
                <w:sz w:val="21"/>
                <w:szCs w:val="21"/>
              </w:rPr>
              <w:t>7.5.1形成文件的信息总则、7.5.2形成文件的信息的创建和更新、7.5.3形成文件的信息的控制、8.1运行策划和控制、8.2应急准备和响应</w:t>
            </w:r>
            <w:r>
              <w:rPr>
                <w:rFonts w:hint="eastAsia" w:cs="Arial" w:asciiTheme="minorEastAsia" w:hAnsiTheme="minorEastAsia" w:eastAsiaTheme="minorEastAsia"/>
                <w:sz w:val="21"/>
                <w:szCs w:val="21"/>
                <w:lang w:eastAsia="zh-CN"/>
              </w:rPr>
              <w:t>、</w:t>
            </w:r>
            <w:r>
              <w:rPr>
                <w:rFonts w:hint="eastAsia" w:ascii="宋体" w:hAnsi="宋体" w:eastAsia="宋体" w:cs="Arial"/>
                <w:spacing w:val="-6"/>
                <w:sz w:val="21"/>
                <w:szCs w:val="21"/>
              </w:rPr>
              <w:t>9.1监视、测量、分析和评价（9.1.1总则、9.1.2合规性评价）、</w:t>
            </w:r>
            <w:r>
              <w:rPr>
                <w:rFonts w:hint="eastAsia" w:cs="Arial" w:asciiTheme="minorEastAsia" w:hAnsiTheme="minorEastAsia" w:eastAsiaTheme="minorEastAsia"/>
                <w:sz w:val="21"/>
                <w:szCs w:val="21"/>
              </w:rPr>
              <w:t>9.2 内部审</w:t>
            </w:r>
            <w:r>
              <w:rPr>
                <w:rFonts w:hint="eastAsia" w:ascii="宋体" w:hAnsi="宋体" w:cs="Arial"/>
                <w:sz w:val="21"/>
                <w:szCs w:val="21"/>
              </w:rPr>
              <w:t>核</w:t>
            </w:r>
            <w:r>
              <w:rPr>
                <w:rFonts w:hint="eastAsia" w:ascii="宋体" w:hAnsi="宋体" w:cs="Arial"/>
                <w:sz w:val="21"/>
                <w:szCs w:val="21"/>
                <w:lang w:eastAsia="zh-CN"/>
              </w:rPr>
              <w:t>、</w:t>
            </w:r>
            <w:r>
              <w:rPr>
                <w:rFonts w:hint="eastAsia" w:ascii="宋体" w:hAnsi="宋体" w:cs="Arial"/>
                <w:sz w:val="21"/>
                <w:szCs w:val="21"/>
                <w:lang w:val="en-US" w:eastAsia="zh-CN"/>
              </w:rPr>
              <w:t>10.2不符合/事件和纠正措施。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r>
              <w:rPr>
                <w:rFonts w:hint="eastAsia" w:cs="Arial" w:asciiTheme="minorEastAsia" w:hAnsiTheme="minorEastAsia" w:eastAsiaTheme="minorEastAsia"/>
                <w:spacing w:val="-6"/>
                <w:sz w:val="21"/>
                <w:szCs w:val="21"/>
              </w:rPr>
              <w:t>EMS/OHSMS运行控制相关财务支出证据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QEO:5.3</w:t>
            </w:r>
          </w:p>
        </w:tc>
        <w:tc>
          <w:tcPr>
            <w:tcW w:w="10004" w:type="dxa"/>
            <w:vAlign w:val="top"/>
          </w:tcPr>
          <w:p>
            <w:pPr>
              <w:pStyle w:val="4"/>
              <w:spacing w:line="410" w:lineRule="exact"/>
              <w:rPr>
                <w:sz w:val="24"/>
              </w:rPr>
            </w:pPr>
            <w:r>
              <w:rPr>
                <w:rFonts w:hint="eastAsia"/>
                <w:sz w:val="24"/>
                <w:lang w:val="en-US" w:eastAsia="zh-CN"/>
              </w:rPr>
              <w:t>综合办</w:t>
            </w:r>
            <w:r>
              <w:rPr>
                <w:sz w:val="24"/>
              </w:rPr>
              <w:t>职责：</w:t>
            </w:r>
          </w:p>
          <w:p>
            <w:pPr>
              <w:pStyle w:val="4"/>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负责质量/环境/职业健康安全内审和管理评审的准备和跟进工作；负责质量/环境/职业健康安全管理体系文件化信息的统一管理和控制；</w:t>
            </w:r>
          </w:p>
          <w:p>
            <w:pPr>
              <w:pStyle w:val="4"/>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 xml:space="preserve">负责组织环境全因素、危险源的识别和评价，组织对重要环境全因素、重大危险源进行管理方案实施； </w:t>
            </w:r>
          </w:p>
          <w:p>
            <w:pPr>
              <w:pStyle w:val="4"/>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 xml:space="preserve">负责质量/环境/职业健康安全信息的内外部交流，法律法规和其他要求的获取、识别和管理； </w:t>
            </w:r>
          </w:p>
          <w:p>
            <w:pPr>
              <w:pStyle w:val="4"/>
              <w:numPr>
                <w:ilvl w:val="0"/>
                <w:numId w:val="1"/>
              </w:numPr>
              <w:spacing w:line="410" w:lineRule="exact"/>
              <w:ind w:left="826" w:hanging="346"/>
              <w:rPr>
                <w:rFonts w:hint="eastAsia" w:ascii="宋体" w:hAnsi="宋体" w:eastAsia="宋体" w:cs="宋体"/>
                <w:color w:val="auto"/>
                <w:sz w:val="24"/>
              </w:rPr>
            </w:pPr>
            <w:r>
              <w:rPr>
                <w:rFonts w:hint="eastAsia" w:ascii="宋体" w:hAnsi="宋体" w:eastAsia="宋体" w:cs="宋体"/>
                <w:color w:val="auto"/>
                <w:sz w:val="24"/>
              </w:rPr>
              <w:t xml:space="preserve">负责公司年度环境/职业安全监测及所有废弃物的处理跟踪； </w:t>
            </w:r>
          </w:p>
          <w:p>
            <w:pPr>
              <w:pStyle w:val="4"/>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color w:val="auto"/>
                <w:sz w:val="24"/>
              </w:rPr>
              <w:t>负责对部门在体系管理职能过程中涉及的各质量过程、环境因素、</w:t>
            </w:r>
            <w:r>
              <w:rPr>
                <w:rFonts w:hint="eastAsia" w:ascii="宋体" w:hAnsi="宋体" w:eastAsia="宋体" w:cs="宋体"/>
                <w:sz w:val="24"/>
              </w:rPr>
              <w:t>危险源的控制，实施合理的管理方案，实现部门质量/环境/职业健康安全目标指标；</w:t>
            </w:r>
          </w:p>
          <w:p>
            <w:pPr>
              <w:pStyle w:val="4"/>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负责财务范围内所有工作，并协助有关部门进行成本控制，认真贯彻实施本公司的管理方针和管理目标；</w:t>
            </w:r>
          </w:p>
          <w:p>
            <w:pPr>
              <w:pStyle w:val="4"/>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根据部门需求招聘员工，识别员工培训要求，编制员工培训计划，确保培训得到有效实施；确保提供产品符合性所需的各类环境设施。</w:t>
            </w:r>
          </w:p>
          <w:p>
            <w:pPr>
              <w:pStyle w:val="4"/>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 xml:space="preserve">编制环境安全措施及环保治理资金使用计划，确保资金到位，监督专款专用； </w:t>
            </w:r>
          </w:p>
          <w:p>
            <w:pPr>
              <w:pStyle w:val="4"/>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 xml:space="preserve">负责公司日常财务开支，保证质量/环境/职业健康安全管理资金的落实； </w:t>
            </w:r>
          </w:p>
          <w:p>
            <w:pPr>
              <w:pStyle w:val="4"/>
              <w:numPr>
                <w:ilvl w:val="0"/>
                <w:numId w:val="1"/>
              </w:numPr>
              <w:spacing w:line="410" w:lineRule="exact"/>
              <w:ind w:left="826" w:hanging="346"/>
              <w:rPr>
                <w:rFonts w:hint="eastAsia" w:ascii="Times New Roman" w:hAnsi="Times New Roman" w:eastAsia="宋体" w:cs="Times New Roman"/>
                <w:color w:val="FF0000"/>
                <w:kern w:val="2"/>
                <w:sz w:val="21"/>
                <w:lang w:val="en-US" w:eastAsia="zh-CN" w:bidi="ar-SA"/>
              </w:rPr>
            </w:pPr>
            <w:r>
              <w:rPr>
                <w:rFonts w:hint="eastAsia" w:ascii="宋体" w:hAnsi="宋体" w:eastAsia="宋体" w:cs="宋体"/>
                <w:sz w:val="24"/>
              </w:rPr>
              <w:t xml:space="preserve">负责员工社会保险工作（养老、失业保险、医疗保险）的管理工作。 </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目标</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color w:val="auto"/>
                <w:lang w:val="en-US" w:eastAsia="zh-CN"/>
              </w:rPr>
              <w:t>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查见“目标分解考核表”，显示对目标进行了分解；</w:t>
            </w:r>
            <w:r>
              <w:rPr>
                <w:rFonts w:hint="default" w:ascii="Times New Roman" w:hAnsi="Times New Roman" w:cs="Times New Roman"/>
                <w:color w:val="auto"/>
                <w:highlight w:val="none"/>
                <w:lang w:val="en-US" w:eastAsia="zh-CN"/>
              </w:rPr>
              <w:t>见</w:t>
            </w:r>
            <w:r>
              <w:rPr>
                <w:rFonts w:hint="eastAsia" w:cs="Times New Roman"/>
                <w:color w:val="auto"/>
                <w:highlight w:val="none"/>
                <w:lang w:val="en-US" w:eastAsia="zh-CN"/>
              </w:rPr>
              <w:t>综合部</w:t>
            </w:r>
            <w:r>
              <w:rPr>
                <w:rFonts w:hint="default" w:ascii="Times New Roman" w:hAnsi="Times New Roman" w:cs="Times New Roman"/>
                <w:color w:val="auto"/>
                <w:highlight w:val="none"/>
                <w:lang w:val="en-US" w:eastAsia="zh-CN"/>
              </w:rPr>
              <w:t>的目标：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drawing>
                <wp:inline distT="0" distB="0" distL="114300" distR="114300">
                  <wp:extent cx="5814060" cy="2677160"/>
                  <wp:effectExtent l="0" t="0" r="2540" b="2540"/>
                  <wp:docPr id="2" name="图片 2" descr="微信图片_2022010420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04201915"/>
                          <pic:cNvPicPr>
                            <a:picLocks noChangeAspect="1"/>
                          </pic:cNvPicPr>
                        </pic:nvPicPr>
                        <pic:blipFill>
                          <a:blip r:embed="rId6"/>
                          <a:stretch>
                            <a:fillRect/>
                          </a:stretch>
                        </pic:blipFill>
                        <pic:spPr>
                          <a:xfrm>
                            <a:off x="0" y="0"/>
                            <a:ext cx="5814060" cy="2677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制定“目标管理方案”，对重要环境因素和不可接受风险的控制措施进行了策划；</w:t>
            </w:r>
          </w:p>
          <w:p>
            <w:pPr>
              <w:pStyle w:val="2"/>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drawing>
                <wp:inline distT="0" distB="0" distL="114300" distR="114300">
                  <wp:extent cx="5213350" cy="2002155"/>
                  <wp:effectExtent l="0" t="0" r="6350" b="4445"/>
                  <wp:docPr id="3" name="图片 3" descr="微信图片_2022010420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104202840"/>
                          <pic:cNvPicPr>
                            <a:picLocks noChangeAspect="1"/>
                          </pic:cNvPicPr>
                        </pic:nvPicPr>
                        <pic:blipFill>
                          <a:blip r:embed="rId7"/>
                          <a:stretch>
                            <a:fillRect/>
                          </a:stretch>
                        </pic:blipFill>
                        <pic:spPr>
                          <a:xfrm>
                            <a:off x="0" y="0"/>
                            <a:ext cx="5213350" cy="2002155"/>
                          </a:xfrm>
                          <a:prstGeom prst="rect">
                            <a:avLst/>
                          </a:prstGeom>
                        </pic:spPr>
                      </pic:pic>
                    </a:graphicData>
                  </a:graphic>
                </wp:inline>
              </w:drawing>
            </w:r>
          </w:p>
          <w:p>
            <w:pPr>
              <w:pStyle w:val="4"/>
              <w:keepNext w:val="0"/>
              <w:keepLines w:val="0"/>
              <w:pageBreakBefore w:val="0"/>
              <w:widowControl w:val="0"/>
              <w:tabs>
                <w:tab w:val="left" w:pos="1875"/>
              </w:tabs>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ab/>
            </w:r>
            <w:r>
              <w:rPr>
                <w:rFonts w:hint="eastAsia" w:cs="Times New Roman" w:eastAsiaTheme="minorEastAsia"/>
                <w:color w:val="auto"/>
                <w:sz w:val="21"/>
                <w:szCs w:val="21"/>
                <w:lang w:val="en-US" w:eastAsia="zh-CN"/>
              </w:rPr>
              <w:drawing>
                <wp:inline distT="0" distB="0" distL="114300" distR="114300">
                  <wp:extent cx="5730240" cy="2198370"/>
                  <wp:effectExtent l="0" t="0" r="10160" b="11430"/>
                  <wp:docPr id="6" name="图片 6" descr="微信图片_2022010420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104202834"/>
                          <pic:cNvPicPr>
                            <a:picLocks noChangeAspect="1"/>
                          </pic:cNvPicPr>
                        </pic:nvPicPr>
                        <pic:blipFill>
                          <a:blip r:embed="rId8"/>
                          <a:stretch>
                            <a:fillRect/>
                          </a:stretch>
                        </pic:blipFill>
                        <pic:spPr>
                          <a:xfrm>
                            <a:off x="0" y="0"/>
                            <a:ext cx="5730240" cy="2198370"/>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Times New Roman" w:hAnsi="Times New Roman" w:eastAsia="宋体" w:cs="Times New Roman"/>
                <w:color w:val="FF0000"/>
                <w:kern w:val="2"/>
                <w:sz w:val="21"/>
                <w:lang w:val="en-US" w:eastAsia="zh-CN" w:bidi="ar-SA"/>
              </w:rPr>
            </w:pPr>
            <w:r>
              <w:rPr>
                <w:rFonts w:hint="eastAsia" w:cs="Times New Roman" w:eastAsiaTheme="minorEastAsia"/>
                <w:color w:val="auto"/>
                <w:sz w:val="21"/>
                <w:szCs w:val="21"/>
                <w:lang w:val="en-US" w:eastAsia="zh-CN"/>
              </w:rPr>
              <w:t>“目标分解考核表”显示对目标完成情况进行了考核，2021.9.30日均完成，管理方案正在实施。</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EO:6.1.2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提供了《环</w:t>
            </w:r>
            <w:r>
              <w:rPr>
                <w:rFonts w:hint="eastAsia"/>
              </w:rPr>
              <w:t>境因素和危险源识别评价与控制程序</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eastAsia"/>
                <w:lang w:val="en-US" w:eastAsia="zh-CN"/>
              </w:rPr>
              <w:t>查“环境因素识别和评价清单”，涉及综合部的环境因素有纸张使用能源消耗、办公场所吸烟污染环境、复印机打印机废墨盒处置污染环境、火灾发生后废弃物污染大气、水土等。考虑了生命周期观点。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采取打分法评价；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查“重要环境因素清单”，列有办公、业务活动的潜在火灾、固废排放为重要环境因素。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eastAsia"/>
                <w:lang w:val="en-US" w:eastAsia="zh-CN"/>
              </w:rPr>
              <w:t>查“公司危险源识别与评价表”，识别了办公、业务活动过程及相关方活动中的危险源，主要包括</w:t>
            </w:r>
            <w:r>
              <w:rPr>
                <w:rFonts w:hint="eastAsia"/>
              </w:rPr>
              <w:t>照明电气线路老化、接地、漏电失灵</w:t>
            </w:r>
            <w:r>
              <w:rPr>
                <w:rFonts w:hint="eastAsia"/>
                <w:lang w:eastAsia="zh-CN"/>
              </w:rPr>
              <w:t>；</w:t>
            </w:r>
            <w:r>
              <w:rPr>
                <w:rFonts w:hint="eastAsia"/>
              </w:rPr>
              <w:t>超时劳动</w:t>
            </w:r>
            <w:r>
              <w:rPr>
                <w:rFonts w:hint="eastAsia"/>
                <w:lang w:eastAsia="zh-CN"/>
              </w:rPr>
              <w:t>；</w:t>
            </w:r>
            <w:r>
              <w:rPr>
                <w:rFonts w:hint="eastAsia"/>
                <w:lang w:val="en-US" w:eastAsia="zh-CN"/>
              </w:rPr>
              <w:t>车辆伤害、火灾、中暑、</w:t>
            </w:r>
            <w:r>
              <w:rPr>
                <w:rFonts w:hint="eastAsia"/>
              </w:rPr>
              <w:t>办公区域无灭火器或过期未及时更换</w:t>
            </w:r>
            <w:r>
              <w:rPr>
                <w:rFonts w:hint="eastAsia"/>
                <w:lang w:eastAsia="zh-CN"/>
              </w:rPr>
              <w:t>；</w:t>
            </w:r>
            <w:r>
              <w:rPr>
                <w:rFonts w:hint="eastAsia"/>
              </w:rPr>
              <w:t>货物搬运过程摔伤</w:t>
            </w:r>
            <w:r>
              <w:rPr>
                <w:rFonts w:hint="eastAsia"/>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对识别出的危险源采取D=LEC进行评价；</w:t>
            </w:r>
          </w:p>
          <w:p>
            <w:pPr>
              <w:spacing w:line="240" w:lineRule="exact"/>
              <w:rPr>
                <w:rFonts w:hint="eastAsia"/>
                <w:lang w:val="en-US" w:eastAsia="zh-CN"/>
              </w:rPr>
            </w:pPr>
            <w:r>
              <w:rPr>
                <w:rFonts w:hint="eastAsia"/>
                <w:lang w:val="en-US" w:eastAsia="zh-CN"/>
              </w:rPr>
              <w:t>查“</w:t>
            </w:r>
            <w:r>
              <w:rPr>
                <w:rFonts w:hint="eastAsia"/>
              </w:rPr>
              <w:t xml:space="preserve"> </w:t>
            </w:r>
            <w:r>
              <w:rPr>
                <w:rFonts w:hint="eastAsia"/>
                <w:lang w:val="en-US" w:eastAsia="zh-CN"/>
              </w:rPr>
              <w:t xml:space="preserve"> 重大</w:t>
            </w:r>
            <w:r>
              <w:rPr>
                <w:rFonts w:hint="eastAsia"/>
              </w:rPr>
              <w:t>危险源清单</w:t>
            </w:r>
            <w:r>
              <w:rPr>
                <w:rFonts w:hint="eastAsia"/>
                <w:lang w:val="en-US" w:eastAsia="zh-CN"/>
              </w:rPr>
              <w:t>”，评价出重大危险源包括：</w:t>
            </w:r>
            <w:r>
              <w:rPr>
                <w:rFonts w:hint="eastAsia"/>
                <w:lang w:eastAsia="zh-CN"/>
              </w:rPr>
              <w:t>火灾爆炸</w:t>
            </w:r>
            <w:r>
              <w:rPr>
                <w:rFonts w:hint="eastAsia"/>
                <w:lang w:val="en-US" w:eastAsia="zh-CN"/>
              </w:rPr>
              <w:t>、触电伤害。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策划了控制措施，制订了环境、职业健康安全管理方案。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eastAsia"/>
                <w:lang w:val="en-US" w:eastAsia="zh-CN"/>
              </w:rPr>
              <w:t>经组织评价，组织策划的措施基本能够满足风险和机遇应对需要，能够与识别的风险和机遇对产品符合性的潜在影响相适应，基本满足标准要求。</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合规义务</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rPr>
              <w:t>合规性评价</w:t>
            </w:r>
          </w:p>
        </w:tc>
        <w:tc>
          <w:tcPr>
            <w:tcW w:w="1093"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EO:6.1.3</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lang w:val="en-US" w:eastAsia="zh-CN"/>
              </w:rPr>
              <w:t>9.1.2</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lang w:val="en-US" w:eastAsia="zh-CN"/>
              </w:rPr>
            </w:pPr>
            <w:r>
              <w:rPr>
                <w:rFonts w:hint="eastAsia"/>
                <w:lang w:val="en-US" w:eastAsia="zh-CN"/>
              </w:rPr>
              <w:t>编制了《法律法规和其他要求控制程序》，对法律法规的识别更新和应用进行规定。</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lang w:val="en-US" w:eastAsia="zh-CN"/>
              </w:rPr>
            </w:pPr>
            <w:r>
              <w:rPr>
                <w:rFonts w:hint="eastAsia"/>
                <w:lang w:val="en-US" w:eastAsia="zh-CN"/>
              </w:rPr>
              <w:t>介绍说，主要通过网络、报纸杂志电视等新闻媒体、购买、上级下发等多种形式收集本公司适用的法律法规。</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default"/>
                <w:lang w:val="en-US" w:eastAsia="zh-CN"/>
              </w:rPr>
            </w:pPr>
            <w:r>
              <w:rPr>
                <w:rFonts w:hint="eastAsia"/>
                <w:lang w:val="en-US" w:eastAsia="zh-CN"/>
              </w:rPr>
              <w:t>提供了《适用的法律法规及其他要求一览表》，识别了企业相关环境和职业健康安全法律法规、标准和其他要求，如：中华人民共和国环境保护法、中华人民共和国环境噪声污染防治法、中华人民共和国大气污染防治法、中华人民共和国水污染防治法、中华人民共和国固体废物污染环境防治法、中华人民共和国节约能源法、中华人民共和国职业病防治法、中华人民共和国消防法、中华人民共和国食品安全法、中华人民共和国特种设备安全法、中华人民共和国劳动法、中华人民共和国妇女权益保障法、中华人民共和国安全生产法等。共计55项，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lang w:val="en-US" w:eastAsia="zh-CN"/>
              </w:rPr>
            </w:pPr>
            <w:r>
              <w:rPr>
                <w:rFonts w:hint="eastAsia"/>
                <w:lang w:val="en-US" w:eastAsia="zh-CN"/>
              </w:rPr>
              <w:t>已识别法律法规及其它要求的适用条款，并与环境因素、危险源进行了对应。</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lang w:val="en-US" w:eastAsia="zh-CN"/>
              </w:rPr>
            </w:pPr>
            <w:r>
              <w:rPr>
                <w:rFonts w:hint="eastAsia"/>
                <w:lang w:val="en-US" w:eastAsia="zh-CN"/>
              </w:rPr>
              <w:t>公司通过培训、会议等方式向</w:t>
            </w:r>
            <w:bookmarkStart w:id="1" w:name="_GoBack"/>
            <w:bookmarkEnd w:id="1"/>
            <w:r>
              <w:rPr>
                <w:rFonts w:hint="eastAsia"/>
                <w:lang w:val="en-US" w:eastAsia="zh-CN"/>
              </w:rPr>
              <w:t>有关员工传达法律、法规及其它要求的相关要求。</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编制了《合规性评价控制程序》，其中规定了对本公司法规及其他要求的合规性评价的要求。</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提供了《合规性评价报告》，2021年6月30日、2021年8月10日分别对公司适用的环境和安全法律法规及其他要求的遵守情况进行了评价，评价结论：公司没有违反国家法律、法规及相关标准，能严格遵守国家有关环境和职业健康安全管理方面的相关规定，密切关注法律法规的变化，并适时调整，严格按体系标准执行。</w:t>
            </w:r>
          </w:p>
          <w:p>
            <w:pPr>
              <w:pStyle w:val="4"/>
              <w:keepNext w:val="0"/>
              <w:keepLines w:val="0"/>
              <w:pageBreakBefore w:val="0"/>
              <w:widowControl w:val="0"/>
              <w:kinsoku/>
              <w:wordWrap/>
              <w:overflowPunct/>
              <w:topLinePunct w:val="0"/>
              <w:autoSpaceDE/>
              <w:autoSpaceDN/>
              <w:bidi w:val="0"/>
              <w:spacing w:after="0" w:afterLines="0" w:line="360" w:lineRule="auto"/>
              <w:ind w:firstLine="396" w:firstLineChars="200"/>
              <w:rPr>
                <w:rFonts w:hint="default" w:ascii="Times New Roman" w:hAnsi="Times New Roman" w:eastAsia="宋体" w:cs="Times New Roman"/>
                <w:kern w:val="2"/>
                <w:sz w:val="21"/>
                <w:lang w:val="en-US" w:eastAsia="zh-CN" w:bidi="ar-SA"/>
              </w:rPr>
            </w:pPr>
            <w:r>
              <w:rPr>
                <w:rFonts w:hint="eastAsia" w:ascii="宋体" w:hAnsi="宋体" w:cs="Arial"/>
                <w:spacing w:val="-6"/>
                <w:sz w:val="21"/>
                <w:szCs w:val="21"/>
                <w:highlight w:val="none"/>
                <w:lang w:val="en-US" w:eastAsia="zh-CN"/>
              </w:rPr>
              <w:t>基本满足要求。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能力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意识</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Q:7.1.2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QEO:</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7.3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公司能保证必要的资源，2021年安全环保投入11.8万元；基本满足。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cs="Times New Roman"/>
                <w:color w:val="auto"/>
                <w:highlight w:val="none"/>
                <w:lang w:val="en-US" w:eastAsia="zh-CN"/>
              </w:rPr>
              <w:t>15</w:t>
            </w:r>
            <w:r>
              <w:rPr>
                <w:rFonts w:hint="default" w:ascii="Times New Roman" w:hAnsi="Times New Roman" w:cs="Times New Roman"/>
                <w:color w:val="auto"/>
                <w:highlight w:val="none"/>
                <w:lang w:val="en-US" w:eastAsia="zh-CN"/>
              </w:rPr>
              <w:t>人，</w:t>
            </w:r>
            <w:r>
              <w:rPr>
                <w:rFonts w:hint="default" w:ascii="Times New Roman" w:hAnsi="Times New Roman" w:cs="Times New Roman"/>
                <w:color w:val="auto"/>
                <w:spacing w:val="-6"/>
                <w:sz w:val="21"/>
                <w:szCs w:val="21"/>
                <w:highlight w:val="none"/>
                <w:lang w:val="en-US" w:eastAsia="zh-CN"/>
              </w:rPr>
              <w:t>管理人员、技术人员能</w:t>
            </w:r>
            <w:r>
              <w:rPr>
                <w:rFonts w:hint="default" w:ascii="Times New Roman" w:hAnsi="Times New Roman" w:cs="Times New Roman"/>
                <w:color w:val="auto"/>
                <w:highlight w:val="none"/>
                <w:lang w:val="en-US" w:eastAsia="zh-CN"/>
              </w:rPr>
              <w:t>够有效实施管理体系，并运行和控制其过程。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查见“2021年度员工培训计划”，计划2021年开展管理体系内审员培训、环境、安全法律法规的培训、岗位技能培训等</w:t>
            </w:r>
            <w:r>
              <w:rPr>
                <w:rFonts w:hint="eastAsia" w:cs="Times New Roman"/>
                <w:color w:val="auto"/>
                <w:highlight w:val="none"/>
                <w:lang w:val="en-US" w:eastAsia="zh-CN"/>
              </w:rPr>
              <w:t>7</w:t>
            </w:r>
            <w:r>
              <w:rPr>
                <w:rFonts w:hint="default" w:ascii="Times New Roman" w:hAnsi="Times New Roman" w:cs="Times New Roman"/>
                <w:color w:val="auto"/>
                <w:highlight w:val="none"/>
                <w:lang w:val="en-US" w:eastAsia="zh-CN"/>
              </w:rPr>
              <w:t>项次；</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查“培训记录及培训效果评价表”，抽见：</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drawing>
                <wp:inline distT="0" distB="0" distL="114300" distR="114300">
                  <wp:extent cx="5709920" cy="2817495"/>
                  <wp:effectExtent l="0" t="0" r="5080" b="1905"/>
                  <wp:docPr id="5" name="图片 5" descr="微信图片_2022010611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106110817"/>
                          <pic:cNvPicPr>
                            <a:picLocks noChangeAspect="1"/>
                          </pic:cNvPicPr>
                        </pic:nvPicPr>
                        <pic:blipFill>
                          <a:blip r:embed="rId9"/>
                          <a:stretch>
                            <a:fillRect/>
                          </a:stretch>
                        </pic:blipFill>
                        <pic:spPr>
                          <a:xfrm>
                            <a:off x="0" y="0"/>
                            <a:ext cx="5709920" cy="281749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drawing>
                <wp:inline distT="0" distB="0" distL="114300" distR="114300">
                  <wp:extent cx="5748020" cy="2558415"/>
                  <wp:effectExtent l="0" t="0" r="5080" b="6985"/>
                  <wp:docPr id="7" name="图片 7" descr="微信图片_2022010611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106110836"/>
                          <pic:cNvPicPr>
                            <a:picLocks noChangeAspect="1"/>
                          </pic:cNvPicPr>
                        </pic:nvPicPr>
                        <pic:blipFill>
                          <a:blip r:embed="rId10"/>
                          <a:stretch>
                            <a:fillRect/>
                          </a:stretch>
                        </pic:blipFill>
                        <pic:spPr>
                          <a:xfrm>
                            <a:off x="0" y="0"/>
                            <a:ext cx="5748020" cy="255841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drawing>
                <wp:inline distT="0" distB="0" distL="114300" distR="114300">
                  <wp:extent cx="5361305" cy="2243455"/>
                  <wp:effectExtent l="0" t="0" r="10795" b="4445"/>
                  <wp:docPr id="8" name="图片 8" descr="微信图片_2022010611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106110854"/>
                          <pic:cNvPicPr>
                            <a:picLocks noChangeAspect="1"/>
                          </pic:cNvPicPr>
                        </pic:nvPicPr>
                        <pic:blipFill>
                          <a:blip r:embed="rId11"/>
                          <a:stretch>
                            <a:fillRect/>
                          </a:stretch>
                        </pic:blipFill>
                        <pic:spPr>
                          <a:xfrm>
                            <a:off x="0" y="0"/>
                            <a:ext cx="5361305" cy="224345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考核及评价记录显示以口头问答的方式对培训效果进行了评价，培训达到预期的目的。</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意识：</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员工能明确自身职责及岗位要求，自身工作影响，如何减少环境污染，员工人身安全意识等。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组织知识</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7.1.6</w:t>
            </w:r>
          </w:p>
        </w:tc>
        <w:tc>
          <w:tcPr>
            <w:tcW w:w="0" w:type="auto"/>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各部门按照职责从内外部各种渠道获得与其职责相关所需的知识，包括操作规程、管理技巧与经验、失败和事故的案例分析、商标等；把知识形成各种规章制度用于指导公司的日常工作和管理，包括体系文件、支持性文件、各种记录表单。</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从内部来源获取的有：多年的工作经验、教训、内部的知识产权等；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外部来源获取有：标杆对比、行业会议、客户技术要求、咨询老师传授的体系知识及所实施的内审员的培训；顾客方提供的资料等。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在应对变化的需求和趋势时，相关部门考虑现有的知识，确定如何获取更多的必要的额外知识，并根据变化的情况及时更新。</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成文信息</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QEO:7.5</w:t>
            </w:r>
          </w:p>
          <w:p>
            <w:pPr>
              <w:pStyle w:val="2"/>
              <w:rPr>
                <w:rFonts w:hint="default" w:ascii="Times New Roman" w:hAnsi="Times New Roman" w:eastAsia="宋体" w:cs="Times New Roman"/>
                <w:bCs/>
                <w:spacing w:val="10"/>
                <w:kern w:val="2"/>
                <w:sz w:val="21"/>
                <w:lang w:val="en-US" w:eastAsia="zh-CN" w:bidi="ar-SA"/>
              </w:rPr>
            </w:pPr>
          </w:p>
        </w:tc>
        <w:tc>
          <w:tcPr>
            <w:tcW w:w="0" w:type="auto"/>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为应对相应风险和机遇，公司依据GB/T19001-2016、GB/T24001-2016、GB/T45001-2020标准的要求并结合本公司的具体情况，采取PDCA的过程方法，建立、实施、保持并持续改进环境、职业健康安全管理体系。</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策划了销售流程：</w:t>
            </w:r>
          </w:p>
          <w:p>
            <w:pPr>
              <w:spacing w:line="360" w:lineRule="auto"/>
              <w:rPr>
                <w:rFonts w:hint="eastAsia" w:ascii="Times New Roman" w:hAnsi="Times New Roman" w:eastAsia="宋体" w:cs="Times New Roman"/>
                <w:color w:val="FF0000"/>
                <w:sz w:val="24"/>
                <w:szCs w:val="24"/>
              </w:rPr>
            </w:pPr>
            <w:r>
              <w:rPr>
                <w:rFonts w:hint="eastAsia"/>
                <w:b/>
              </w:rPr>
              <w:t>销售：客户接触----合同评审----签订合同-----客户付款------入帐------采购-----客户提货-----验收</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策划了与业务流程相关的环境因素、危险源辨识、风险评价的程序文件和控制措施；</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策划了公司的管理体系文件，包括：</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编制《管理手册》</w:t>
            </w:r>
            <w:r>
              <w:rPr>
                <w:rFonts w:hint="eastAsia" w:cs="Times New Roman"/>
                <w:color w:val="auto"/>
                <w:szCs w:val="22"/>
                <w:highlight w:val="none"/>
                <w:lang w:val="en-US" w:eastAsia="zh-CN"/>
              </w:rPr>
              <w:t>A/1</w:t>
            </w:r>
            <w:r>
              <w:rPr>
                <w:rFonts w:hint="eastAsia" w:ascii="Times New Roman" w:hAnsi="Times New Roman" w:cs="Times New Roman"/>
                <w:color w:val="auto"/>
                <w:szCs w:val="22"/>
                <w:highlight w:val="none"/>
                <w:lang w:val="en-US" w:eastAsia="zh-CN"/>
              </w:rPr>
              <w:t>版，管理体系于202</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年</w:t>
            </w:r>
            <w:r>
              <w:rPr>
                <w:rFonts w:hint="eastAsia" w:cs="Times New Roman"/>
                <w:color w:val="auto"/>
                <w:szCs w:val="22"/>
                <w:highlight w:val="none"/>
                <w:lang w:val="en-US" w:eastAsia="zh-CN"/>
              </w:rPr>
              <w:t>6</w:t>
            </w:r>
            <w:r>
              <w:rPr>
                <w:rFonts w:hint="eastAsia" w:ascii="Times New Roman" w:hAnsi="Times New Roman" w:cs="Times New Roman"/>
                <w:color w:val="auto"/>
                <w:szCs w:val="22"/>
                <w:highlight w:val="none"/>
                <w:lang w:val="en-US" w:eastAsia="zh-CN"/>
              </w:rPr>
              <w:t>月10日发布实施；</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编制程序文件27个，版本号：</w:t>
            </w:r>
            <w:r>
              <w:rPr>
                <w:rFonts w:hint="eastAsia" w:cs="Times New Roman"/>
                <w:color w:val="auto"/>
                <w:szCs w:val="22"/>
                <w:highlight w:val="none"/>
                <w:lang w:val="en-US" w:eastAsia="zh-CN"/>
              </w:rPr>
              <w:t>A/1</w:t>
            </w:r>
            <w:r>
              <w:rPr>
                <w:rFonts w:hint="eastAsia" w:ascii="Times New Roman" w:hAnsi="Times New Roman" w:cs="Times New Roman"/>
                <w:color w:val="auto"/>
                <w:szCs w:val="22"/>
                <w:highlight w:val="none"/>
                <w:lang w:val="en-US" w:eastAsia="zh-CN"/>
              </w:rPr>
              <w:t>，202</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年</w:t>
            </w:r>
            <w:r>
              <w:rPr>
                <w:rFonts w:hint="eastAsia" w:cs="Times New Roman"/>
                <w:color w:val="auto"/>
                <w:szCs w:val="22"/>
                <w:highlight w:val="none"/>
                <w:lang w:val="en-US" w:eastAsia="zh-CN"/>
              </w:rPr>
              <w:t>6</w:t>
            </w:r>
            <w:r>
              <w:rPr>
                <w:rFonts w:hint="eastAsia" w:ascii="Times New Roman" w:hAnsi="Times New Roman" w:cs="Times New Roman"/>
                <w:color w:val="auto"/>
                <w:szCs w:val="22"/>
                <w:highlight w:val="none"/>
                <w:lang w:val="en-US" w:eastAsia="zh-CN"/>
              </w:rPr>
              <w:t>月10日实施；</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编制有管理文件：员工职业健康及劳动保护管理规定</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培训管理制度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能源使用管理规定</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产品搬运、储存、防护操作规程</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设备管理制度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安全防火规程</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安全生产管理制度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质量管理制度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特殊过程能力评价准则</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安全操作规程</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选择评价和重新评价供方的准则</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进货验收规范等；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建立有外来文件清单，收集法律法规和技术标准、规范等；中华人民共和国产品质量法</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中华人民共和国安全生产法</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中华人民共和国环境保护法、中华人民共和国消防法</w:t>
            </w:r>
            <w:r>
              <w:rPr>
                <w:rFonts w:hint="default" w:ascii="Times New Roman" w:hAnsi="Times New Roman" w:cs="Times New Roman"/>
                <w:color w:val="auto"/>
                <w:szCs w:val="22"/>
                <w:highlight w:val="none"/>
                <w:lang w:val="en-US" w:eastAsia="zh-CN"/>
              </w:rPr>
              <w:fldChar w:fldCharType="begin"/>
            </w:r>
            <w:r>
              <w:rPr>
                <w:rFonts w:hint="default" w:ascii="Times New Roman" w:hAnsi="Times New Roman" w:cs="Times New Roman"/>
                <w:color w:val="auto"/>
                <w:szCs w:val="22"/>
                <w:highlight w:val="none"/>
                <w:lang w:val="en-US" w:eastAsia="zh-CN"/>
              </w:rPr>
              <w:instrText xml:space="preserve"> HYPERLINK "https://www.so.com/link?m=bikhVyPNWsljoGV+VakomQ2apXAZSQrphu88nkgN28S8QrtBM32Q41A02lG4sm/F8izvN1DT2EIll03ZbK5ew99VLUMgDELXoFFPVToUKbJEV+1o4/BNjU5R2N+10zWZd0uwetW7X2iSLIby6+z3xt+/1K90evyZw1TVSDn0BsDw=" \t "https://www.so.com/_blank" </w:instrText>
            </w:r>
            <w:r>
              <w:rPr>
                <w:rFonts w:hint="default" w:ascii="Times New Roman" w:hAnsi="Times New Roman" w:cs="Times New Roman"/>
                <w:color w:val="auto"/>
                <w:szCs w:val="22"/>
                <w:highlight w:val="none"/>
                <w:lang w:val="en-US" w:eastAsia="zh-CN"/>
              </w:rPr>
              <w:fldChar w:fldCharType="separate"/>
            </w:r>
            <w:r>
              <w:rPr>
                <w:rFonts w:hint="default" w:ascii="Times New Roman" w:hAnsi="Times New Roman" w:cs="Times New Roman"/>
                <w:color w:val="auto"/>
                <w:szCs w:val="22"/>
                <w:highlight w:val="none"/>
                <w:lang w:val="en-US" w:eastAsia="zh-CN"/>
              </w:rPr>
              <w:fldChar w:fldCharType="end"/>
            </w:r>
            <w:r>
              <w:rPr>
                <w:rFonts w:hint="eastAsia" w:ascii="Times New Roman" w:hAnsi="Times New Roman" w:cs="Times New Roman"/>
                <w:color w:val="auto"/>
                <w:szCs w:val="22"/>
                <w:highlight w:val="none"/>
                <w:lang w:val="en-US" w:eastAsia="zh-CN"/>
              </w:rPr>
              <w:t>、</w:t>
            </w:r>
            <w:r>
              <w:rPr>
                <w:rFonts w:hint="eastAsia" w:ascii="宋体" w:hAnsi="宋体" w:cs="宋体"/>
                <w:kern w:val="0"/>
                <w:sz w:val="18"/>
                <w:szCs w:val="18"/>
                <w:lang w:eastAsia="zh-CN"/>
              </w:rPr>
              <w:t>《生产安全事故应急预案管理办法》、《</w:t>
            </w:r>
            <w:r>
              <w:rPr>
                <w:rFonts w:hint="eastAsia" w:ascii="宋体" w:hAnsi="宋体" w:cs="宋体"/>
                <w:kern w:val="0"/>
                <w:sz w:val="18"/>
                <w:szCs w:val="18"/>
                <w:lang w:val="en-US" w:eastAsia="zh-CN"/>
              </w:rPr>
              <w:t>三亚</w:t>
            </w:r>
            <w:r>
              <w:rPr>
                <w:rFonts w:hint="eastAsia" w:ascii="宋体" w:hAnsi="宋体" w:cs="宋体"/>
                <w:kern w:val="0"/>
                <w:sz w:val="18"/>
                <w:szCs w:val="18"/>
                <w:lang w:eastAsia="zh-CN"/>
              </w:rPr>
              <w:t>市安全生产管理条例》</w:t>
            </w:r>
            <w:r>
              <w:rPr>
                <w:rFonts w:hint="eastAsia" w:ascii="宋体" w:hAnsi="宋体" w:cs="宋体"/>
                <w:kern w:val="0"/>
                <w:sz w:val="18"/>
                <w:szCs w:val="18"/>
                <w:lang w:val="en-US" w:eastAsia="zh-CN"/>
              </w:rPr>
              <w:t>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建立环境、职业健康安全法律法规和其他要求清单，共</w:t>
            </w:r>
            <w:r>
              <w:rPr>
                <w:rFonts w:hint="eastAsia" w:cs="Times New Roman"/>
                <w:color w:val="auto"/>
                <w:szCs w:val="22"/>
                <w:highlight w:val="none"/>
                <w:lang w:val="en-US" w:eastAsia="zh-CN"/>
              </w:rPr>
              <w:t>97</w:t>
            </w:r>
            <w:r>
              <w:rPr>
                <w:rFonts w:hint="eastAsia" w:ascii="Times New Roman" w:hAnsi="Times New Roman" w:cs="Times New Roman"/>
                <w:color w:val="auto"/>
                <w:szCs w:val="22"/>
                <w:highlight w:val="none"/>
                <w:lang w:val="en-US" w:eastAsia="zh-CN"/>
              </w:rPr>
              <w:t>个。</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文件化管理体系目前基本满足要求。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管理体系文件经过总经理审批实施发布，经评审，目前文件和目录均适用。符合要求。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——编制《文件控制程序》，内容符合基本标准要求。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成文信息由各部门负责保存，以便查阅。</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经查，基本符合标准要求。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u w:val="none"/>
              </w:rPr>
              <w:t>运行策划和控制</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8.1</w:t>
            </w:r>
          </w:p>
        </w:tc>
        <w:tc>
          <w:tcPr>
            <w:tcW w:w="0" w:type="auto"/>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公司策划了环境安全管理相关程序文件和管理制度：运行控制程序、废弃物控制程序、噪声控制程序、消防控制程序、资源能源控制程序、应急准备和响应控制程序等；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远程</w:t>
            </w:r>
            <w:r>
              <w:rPr>
                <w:rFonts w:hint="default" w:ascii="Times New Roman" w:hAnsi="Times New Roman" w:cs="Times New Roman"/>
                <w:color w:val="auto"/>
                <w:szCs w:val="22"/>
                <w:highlight w:val="none"/>
                <w:lang w:val="en-US" w:eastAsia="zh-CN"/>
              </w:rPr>
              <w:t>观察：</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办公面积大约180平方米，工</w:t>
            </w:r>
            <w:r>
              <w:rPr>
                <w:rFonts w:hint="eastAsia" w:ascii="宋体" w:hAnsi="宋体" w:eastAsia="宋体" w:cs="Arial"/>
                <w:spacing w:val="-6"/>
                <w:sz w:val="21"/>
                <w:szCs w:val="21"/>
                <w:highlight w:val="none"/>
                <w:lang w:val="en-US" w:eastAsia="zh-CN"/>
              </w:rPr>
              <w:t>作场所布局合理，座椅和办公桌符合人体工程学要求，员工有自我防护意识，工间能适当走动、休息；各</w:t>
            </w:r>
            <w:r>
              <w:rPr>
                <w:rFonts w:hint="eastAsia" w:ascii="宋体" w:hAnsi="宋体" w:cs="Arial"/>
                <w:spacing w:val="-6"/>
                <w:sz w:val="21"/>
                <w:szCs w:val="21"/>
                <w:highlight w:val="none"/>
                <w:lang w:val="en-US" w:eastAsia="zh-CN"/>
              </w:rPr>
              <w:t>工作人员</w:t>
            </w:r>
            <w:r>
              <w:rPr>
                <w:rFonts w:hint="eastAsia" w:ascii="宋体" w:hAnsi="宋体" w:eastAsia="宋体" w:cs="Arial"/>
                <w:spacing w:val="-6"/>
                <w:sz w:val="21"/>
                <w:szCs w:val="21"/>
                <w:highlight w:val="none"/>
                <w:lang w:val="en-US" w:eastAsia="zh-CN"/>
              </w:rPr>
              <w:t>坐姿正确，避免过度疲劳；电脑显示器调整到保护视力的颜色；配置有适量的绿植，办公环境光照、温度适宜，通风良好，办公场所物品摆放整齐、有序，未见随意乱放私人物品的情况；满足办公需求</w:t>
            </w:r>
            <w:r>
              <w:rPr>
                <w:rFonts w:hint="eastAsia" w:ascii="宋体" w:hAnsi="宋体" w:cs="Arial"/>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b w:val="0"/>
                <w:color w:val="auto"/>
                <w:kern w:val="2"/>
                <w:sz w:val="21"/>
                <w:szCs w:val="22"/>
                <w:lang w:val="en-US" w:eastAsia="zh-CN" w:bidi="ar-SA"/>
              </w:rPr>
            </w:pPr>
            <w:r>
              <w:rPr>
                <w:rFonts w:hint="default" w:ascii="Times New Roman" w:hAnsi="Times New Roman" w:eastAsia="宋体" w:cs="Times New Roman"/>
                <w:b w:val="0"/>
                <w:kern w:val="2"/>
                <w:sz w:val="21"/>
                <w:szCs w:val="22"/>
                <w:lang w:val="en-US" w:eastAsia="zh-CN" w:bidi="ar-SA"/>
              </w:rPr>
              <w:t>电路、电源正常，电路布线合理、电气插座完整，未见破损，无乱拉乱接电线、使用超额电气等现象；未见用电不当等安全隐患及不良影响现</w:t>
            </w:r>
            <w:r>
              <w:rPr>
                <w:rFonts w:hint="default" w:ascii="Times New Roman" w:hAnsi="Times New Roman" w:eastAsia="宋体" w:cs="Times New Roman"/>
                <w:b w:val="0"/>
                <w:color w:val="auto"/>
                <w:kern w:val="2"/>
                <w:sz w:val="21"/>
                <w:szCs w:val="22"/>
                <w:lang w:val="en-US" w:eastAsia="zh-CN" w:bidi="ar-SA"/>
              </w:rPr>
              <w:t>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查见配置有灭火器，状态良好</w:t>
            </w:r>
            <w:r>
              <w:rPr>
                <w:rFonts w:hint="eastAsia" w:ascii="Times New Roman" w:hAnsi="Times New Roman" w:cs="Times New Roman"/>
                <w:color w:val="auto"/>
                <w:szCs w:val="22"/>
                <w:highlight w:val="none"/>
                <w:lang w:val="en-US" w:eastAsia="zh-CN"/>
              </w:rPr>
              <w:t>。</w:t>
            </w:r>
          </w:p>
          <w:p>
            <w:pPr>
              <w:pStyle w:val="4"/>
              <w:rPr>
                <w:rFonts w:hint="eastAsia"/>
                <w:lang w:val="en-US" w:eastAsia="zh-CN"/>
              </w:rPr>
            </w:pPr>
            <w:r>
              <w:rPr>
                <w:rFonts w:hint="eastAsia" w:cs="Times New Roman"/>
                <w:color w:val="auto"/>
                <w:szCs w:val="22"/>
                <w:highlight w:val="none"/>
                <w:lang w:val="en-US" w:eastAsia="zh-CN"/>
              </w:rPr>
              <w:t>消防通道、应急指示良好，</w:t>
            </w:r>
            <w:r>
              <w:rPr>
                <w:rFonts w:hint="eastAsia"/>
                <w:lang w:val="en-US" w:eastAsia="zh-CN"/>
              </w:rPr>
              <w:t>监控摄像头运行正常；</w:t>
            </w:r>
          </w:p>
          <w:p>
            <w:pPr>
              <w:pStyle w:val="4"/>
              <w:rPr>
                <w:rFonts w:hint="eastAsia" w:cs="Times New Roman"/>
                <w:color w:val="auto"/>
                <w:szCs w:val="22"/>
                <w:highlight w:val="none"/>
                <w:lang w:val="en-US" w:eastAsia="zh-CN"/>
              </w:rPr>
            </w:pPr>
            <w:r>
              <w:rPr>
                <w:rFonts w:hint="eastAsia" w:cs="Times New Roman"/>
                <w:color w:val="auto"/>
                <w:szCs w:val="22"/>
                <w:highlight w:val="none"/>
                <w:lang w:val="en-US" w:eastAsia="zh-CN"/>
              </w:rPr>
              <w:t>查见“劳保用品领用登记表”，见发放了口</w:t>
            </w:r>
            <w:r>
              <w:rPr>
                <w:rFonts w:hint="eastAsia" w:ascii="Times New Roman" w:hAnsi="Times New Roman" w:cs="Times New Roman"/>
                <w:color w:val="auto"/>
                <w:szCs w:val="22"/>
                <w:highlight w:val="none"/>
                <w:lang w:val="en-US" w:eastAsia="zh-CN"/>
              </w:rPr>
              <w:t>罩</w:t>
            </w:r>
            <w:r>
              <w:rPr>
                <w:rFonts w:hint="eastAsia" w:cs="Times New Roman"/>
                <w:color w:val="auto"/>
                <w:szCs w:val="22"/>
                <w:highlight w:val="none"/>
                <w:lang w:val="en-US" w:eastAsia="zh-CN"/>
              </w:rPr>
              <w:t>，有发放人和领用人签字；</w:t>
            </w:r>
          </w:p>
          <w:p>
            <w:pPr>
              <w:pStyle w:val="4"/>
              <w:rPr>
                <w:rFonts w:hint="default" w:cs="Times New Roman"/>
                <w:color w:val="auto"/>
                <w:szCs w:val="22"/>
                <w:highlight w:val="none"/>
                <w:lang w:val="en-US" w:eastAsia="zh-CN"/>
              </w:rPr>
            </w:pPr>
            <w:r>
              <w:rPr>
                <w:rFonts w:hint="eastAsia" w:cs="Times New Roman"/>
                <w:color w:val="auto"/>
                <w:szCs w:val="22"/>
                <w:highlight w:val="none"/>
                <w:lang w:val="en-US" w:eastAsia="zh-CN"/>
              </w:rPr>
              <w:t>查见固体废弃物回收、处理记录，对复印纸、电池、废硒鼓等数量、处理方式、回收日期和经办人进行了登记。</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节约用水用电、纸张双面使用</w:t>
            </w:r>
            <w:r>
              <w:rPr>
                <w:rFonts w:hint="eastAsia" w:cs="Times New Roman"/>
                <w:color w:val="auto"/>
                <w:szCs w:val="2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生活废水经市政管网排放；</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办公环境安静，无明显噪声和废气；</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办公垃圾由环卫部门收集处理；</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办公用墨盒硒鼓等危废以旧换新；</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对部门员工进行了不定期的交通安全宣传；</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查见“相关方告知书”，有效文件，对供方进行了环境和职业健康安全有关事项的沟通。</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s="Times New Roman"/>
                <w:color w:val="auto"/>
                <w:spacing w:val="-6"/>
                <w:sz w:val="21"/>
                <w:szCs w:val="21"/>
                <w:u w:val="none"/>
                <w:lang w:eastAsia="zh-CN"/>
              </w:rPr>
              <w:t>应急准备和响应</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w:t>
            </w:r>
            <w:r>
              <w:rPr>
                <w:rFonts w:hint="eastAsia" w:ascii="Times New Roman" w:hAnsi="Times New Roman" w:cs="Times New Roman"/>
                <w:color w:val="auto"/>
                <w:spacing w:val="-6"/>
                <w:sz w:val="21"/>
                <w:szCs w:val="21"/>
                <w:u w:val="none"/>
                <w:lang w:val="en-US" w:eastAsia="zh-CN"/>
              </w:rPr>
              <w:t>2</w:t>
            </w:r>
          </w:p>
        </w:tc>
        <w:tc>
          <w:tcPr>
            <w:tcW w:w="0" w:type="auto"/>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组织制定了《应急准备和响应程序》，识别紧急情况如下：1.火灾、2.触电、3.机械伤害；均规定了相应的应急响应措施，并制定了《应急预案》。</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kern w:val="2"/>
                <w:sz w:val="21"/>
                <w:szCs w:val="22"/>
                <w:highlight w:val="yellow"/>
                <w:lang w:val="en-US" w:eastAsia="zh-CN" w:bidi="ar-SA"/>
              </w:rPr>
            </w:pPr>
            <w:r>
              <w:rPr>
                <w:rFonts w:hint="eastAsia" w:ascii="Times New Roman" w:hAnsi="Times New Roman" w:eastAsia="宋体" w:cs="Times New Roman"/>
                <w:color w:val="auto"/>
                <w:szCs w:val="22"/>
                <w:highlight w:val="none"/>
                <w:lang w:val="en-US" w:eastAsia="zh-CN"/>
              </w:rPr>
              <w:t>查2021年</w:t>
            </w:r>
            <w:r>
              <w:rPr>
                <w:rFonts w:hint="eastAsia" w:cs="Times New Roman"/>
                <w:color w:val="auto"/>
                <w:szCs w:val="22"/>
                <w:highlight w:val="none"/>
                <w:lang w:val="en-US" w:eastAsia="zh-CN"/>
              </w:rPr>
              <w:t>7</w:t>
            </w:r>
            <w:r>
              <w:rPr>
                <w:rFonts w:hint="eastAsia" w:ascii="Times New Roman" w:hAnsi="Times New Roman" w:eastAsia="宋体" w:cs="Times New Roman"/>
                <w:color w:val="auto"/>
                <w:szCs w:val="22"/>
                <w:highlight w:val="none"/>
                <w:lang w:val="en-US" w:eastAsia="zh-CN"/>
              </w:rPr>
              <w:t>月</w:t>
            </w:r>
            <w:r>
              <w:rPr>
                <w:rFonts w:hint="eastAsia" w:cs="Times New Roman"/>
                <w:color w:val="auto"/>
                <w:szCs w:val="22"/>
                <w:highlight w:val="none"/>
                <w:lang w:val="en-US" w:eastAsia="zh-CN"/>
              </w:rPr>
              <w:t>23日进行了触电应急演练；</w:t>
            </w:r>
            <w:r>
              <w:rPr>
                <w:rFonts w:hint="eastAsia" w:ascii="Times New Roman" w:hAnsi="Times New Roman" w:eastAsia="宋体" w:cs="Times New Roman"/>
                <w:color w:val="auto"/>
                <w:szCs w:val="22"/>
                <w:highlight w:val="none"/>
                <w:lang w:val="en-US" w:eastAsia="zh-CN"/>
              </w:rPr>
              <w:t>2021年</w:t>
            </w:r>
            <w:r>
              <w:rPr>
                <w:rFonts w:hint="eastAsia" w:cs="Times New Roman"/>
                <w:color w:val="auto"/>
                <w:szCs w:val="22"/>
                <w:highlight w:val="none"/>
                <w:lang w:val="en-US" w:eastAsia="zh-CN"/>
              </w:rPr>
              <w:t>8</w:t>
            </w:r>
            <w:r>
              <w:rPr>
                <w:rFonts w:hint="eastAsia" w:ascii="Times New Roman" w:hAnsi="Times New Roman" w:eastAsia="宋体" w:cs="Times New Roman"/>
                <w:color w:val="auto"/>
                <w:szCs w:val="22"/>
                <w:highlight w:val="none"/>
                <w:lang w:val="en-US" w:eastAsia="zh-CN"/>
              </w:rPr>
              <w:t>月</w:t>
            </w:r>
            <w:r>
              <w:rPr>
                <w:rFonts w:hint="eastAsia" w:cs="Times New Roman"/>
                <w:color w:val="auto"/>
                <w:szCs w:val="22"/>
                <w:highlight w:val="none"/>
                <w:lang w:val="en-US" w:eastAsia="zh-CN"/>
              </w:rPr>
              <w:t>14</w:t>
            </w:r>
            <w:r>
              <w:rPr>
                <w:rFonts w:hint="eastAsia" w:ascii="Times New Roman" w:hAnsi="Times New Roman" w:eastAsia="宋体" w:cs="Times New Roman"/>
                <w:color w:val="auto"/>
                <w:szCs w:val="22"/>
                <w:highlight w:val="none"/>
                <w:lang w:val="en-US" w:eastAsia="zh-CN"/>
              </w:rPr>
              <w:t>日举行的消防演练记录。内容包括《</w:t>
            </w:r>
            <w:r>
              <w:rPr>
                <w:rFonts w:hint="eastAsia" w:cs="Times New Roman"/>
                <w:color w:val="auto"/>
                <w:szCs w:val="22"/>
                <w:highlight w:val="none"/>
                <w:lang w:val="en-US" w:eastAsia="zh-CN"/>
              </w:rPr>
              <w:t>应急演练计划</w:t>
            </w:r>
            <w:r>
              <w:rPr>
                <w:rFonts w:hint="eastAsia" w:ascii="Times New Roman" w:hAnsi="Times New Roman" w:eastAsia="宋体" w:cs="Times New Roman"/>
                <w:color w:val="auto"/>
                <w:szCs w:val="22"/>
                <w:highlight w:val="none"/>
                <w:lang w:val="en-US" w:eastAsia="zh-CN"/>
              </w:rPr>
              <w:t>》</w:t>
            </w:r>
            <w:r>
              <w:rPr>
                <w:rFonts w:hint="eastAsia" w:cs="Times New Roman"/>
                <w:color w:val="auto"/>
                <w:szCs w:val="22"/>
                <w:highlight w:val="none"/>
                <w:lang w:val="en-US" w:eastAsia="zh-CN"/>
              </w:rPr>
              <w:t>和演练</w:t>
            </w:r>
            <w:r>
              <w:rPr>
                <w:rFonts w:hint="eastAsia" w:ascii="Times New Roman" w:hAnsi="Times New Roman" w:eastAsia="宋体" w:cs="Times New Roman"/>
                <w:color w:val="auto"/>
                <w:szCs w:val="22"/>
                <w:highlight w:val="none"/>
                <w:lang w:val="en-US" w:eastAsia="zh-CN"/>
              </w:rPr>
              <w:t>记录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方案内容包括时间、范围、目的、参与人员、指挥小组成员、演习程序及相关要求，记录基本完整，整个演练过程涉及的生产安全培训教材基本覆盖了重要环境因素和重要危险源的内容，对相关重要问题和关键节点作了总结，符合控制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pacing w:val="-6"/>
                <w:sz w:val="21"/>
                <w:szCs w:val="21"/>
                <w:u w:val="none"/>
              </w:rPr>
            </w:pPr>
            <w:r>
              <w:rPr>
                <w:rFonts w:hint="default" w:ascii="Times New Roman" w:hAnsi="Times New Roman" w:cs="Times New Roman"/>
                <w:spacing w:val="-6"/>
                <w:sz w:val="21"/>
                <w:szCs w:val="21"/>
                <w:u w:val="none"/>
              </w:rPr>
              <w:t>监视、测量、分析和评价总则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spacing w:val="-6"/>
                <w:sz w:val="21"/>
                <w:szCs w:val="21"/>
                <w:u w:val="none"/>
              </w:rPr>
              <w:t>分析与评价</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QEO:9.1.1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Q:9.1.3</w:t>
            </w:r>
          </w:p>
        </w:tc>
        <w:tc>
          <w:tcPr>
            <w:tcW w:w="0" w:type="auto"/>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公司保持有“监视和测量控制程序”，有效文件，无变化。</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保留“目标分解考核表”，对目标完成情况进行绩效考核；</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查见“</w:t>
            </w:r>
            <w:r>
              <w:rPr>
                <w:rFonts w:hint="eastAsia"/>
                <w:b w:val="0"/>
                <w:bCs/>
                <w:sz w:val="21"/>
                <w:szCs w:val="21"/>
              </w:rPr>
              <w:t>厂区卫生安全检查记录</w:t>
            </w:r>
            <w:r>
              <w:rPr>
                <w:rFonts w:hint="eastAsia" w:cs="Times New Roman"/>
                <w:color w:val="auto"/>
                <w:szCs w:val="22"/>
                <w:highlight w:val="none"/>
                <w:lang w:val="en-US" w:eastAsia="zh-CN"/>
              </w:rPr>
              <w:t>”，每月对设备维护、固废、能源消耗、消防等进行了检查，均正常，检查人：姚松柏；</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未有上级主管部门的监督检查。</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公司经营能遵守相关的法律法规，没有违反环境、职业健康安全法律法规现象，近期没有发生环境与职业健康安全的事故。</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rPr>
              <w:t>内部审核</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EO:9.2</w:t>
            </w:r>
          </w:p>
        </w:tc>
        <w:tc>
          <w:tcPr>
            <w:tcW w:w="0" w:type="auto"/>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制定有《内部审核程序》，有效文件；</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highlight w:val="none"/>
                <w:lang w:val="en-US" w:eastAsia="zh-CN"/>
              </w:rPr>
            </w:pPr>
            <w:r>
              <w:rPr>
                <w:rFonts w:hint="eastAsia"/>
                <w:highlight w:val="none"/>
                <w:lang w:val="en-US" w:eastAsia="zh-CN"/>
              </w:rPr>
              <w:t>2021年10月30日，对各部门进行了内审，保留了内审计划、内审记录、不符合报告、内审报告；内审覆盖了管理体系范围内的活动及标准的要求；提供了签到表。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default"/>
                <w:highlight w:val="none"/>
                <w:lang w:val="en-US" w:eastAsia="zh-CN"/>
              </w:rPr>
            </w:pPr>
            <w:r>
              <w:rPr>
                <w:rFonts w:hint="eastAsia"/>
                <w:highlight w:val="none"/>
                <w:lang w:val="en-US" w:eastAsia="zh-CN"/>
              </w:rPr>
              <w:t>本次内审开具不符合报告1份，已整改，有整改验收记录；</w:t>
            </w:r>
            <w:r>
              <w:rPr>
                <w:rFonts w:hint="default"/>
                <w:highlight w:val="none"/>
                <w:lang w:val="en-US" w:eastAsia="zh-CN"/>
              </w:rPr>
              <w:drawing>
                <wp:inline distT="0" distB="0" distL="114300" distR="114300">
                  <wp:extent cx="2428875" cy="2460625"/>
                  <wp:effectExtent l="0" t="0" r="9525" b="3175"/>
                  <wp:docPr id="9" name="图片 9" descr="微信图片_2022010514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0105141242"/>
                          <pic:cNvPicPr>
                            <a:picLocks noChangeAspect="1"/>
                          </pic:cNvPicPr>
                        </pic:nvPicPr>
                        <pic:blipFill>
                          <a:blip r:embed="rId12"/>
                          <a:stretch>
                            <a:fillRect/>
                          </a:stretch>
                        </pic:blipFill>
                        <pic:spPr>
                          <a:xfrm>
                            <a:off x="0" y="0"/>
                            <a:ext cx="2428875" cy="246062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highlight w:val="none"/>
                <w:lang w:val="en-US" w:eastAsia="zh-CN"/>
              </w:rPr>
            </w:pPr>
            <w:r>
              <w:rPr>
                <w:rFonts w:hint="eastAsia"/>
                <w:highlight w:val="none"/>
                <w:lang w:val="en-US" w:eastAsia="zh-CN"/>
              </w:rPr>
              <w:t>内审结论为：三体系运行基本良好，运行达到一定的效果，基本符合ISO9001:2015；ISO14001:2015；ISO45001:2018标准的要求，但仍存在不足，各部门应举一反三，对类似问题予以整改。</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不合格和纠正措施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w:t>
            </w:r>
            <w:r>
              <w:rPr>
                <w:rFonts w:hint="default" w:ascii="Times New Roman" w:hAnsi="Times New Roman" w:cs="Times New Roman"/>
                <w:color w:val="auto"/>
                <w:spacing w:val="-6"/>
                <w:sz w:val="21"/>
                <w:szCs w:val="21"/>
                <w:lang w:val="en-US" w:eastAsia="zh-CN"/>
              </w:rPr>
              <w:t>10.2</w:t>
            </w:r>
          </w:p>
        </w:tc>
        <w:tc>
          <w:tcPr>
            <w:tcW w:w="0" w:type="auto"/>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公司建立“不符合、纠正和预防措施控制程序”、“事故调查处理控制程序”，有效文件，无变化。对纠正预防措施识别、评审、验证，事故事件报告、调查、处理等进行了策划。</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对日常检查和内审、管理评审中提出的不合格项进行了原因分析，并策划纠正措施并实施，对所采取的纠正措施进行验证。</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公司成立以来没有发生重大质量事故和投诉处罚，没有发生环境、职业健康安全事件和投诉处罚。</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基本符合标准规定要求。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lang w:val="en-US" w:eastAsia="zh-CN"/>
              </w:rPr>
              <w:t>Y</w:t>
            </w:r>
          </w:p>
        </w:tc>
      </w:tr>
    </w:tbl>
    <w:p>
      <w:pPr>
        <w:jc w:val="left"/>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DE65F"/>
    <w:multiLevelType w:val="multilevel"/>
    <w:tmpl w:val="CFDDE65F"/>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6519"/>
    <w:rsid w:val="01C34F4F"/>
    <w:rsid w:val="03BE6859"/>
    <w:rsid w:val="04816091"/>
    <w:rsid w:val="058B2465"/>
    <w:rsid w:val="06277ED4"/>
    <w:rsid w:val="069C6B7F"/>
    <w:rsid w:val="0E7A7BB8"/>
    <w:rsid w:val="112F0C71"/>
    <w:rsid w:val="12E54770"/>
    <w:rsid w:val="138B36A2"/>
    <w:rsid w:val="14E40B02"/>
    <w:rsid w:val="16387421"/>
    <w:rsid w:val="197467ED"/>
    <w:rsid w:val="1AA84A11"/>
    <w:rsid w:val="1AD578BC"/>
    <w:rsid w:val="1B42043A"/>
    <w:rsid w:val="1BC36ABE"/>
    <w:rsid w:val="1BF26C9C"/>
    <w:rsid w:val="1E78376A"/>
    <w:rsid w:val="22913739"/>
    <w:rsid w:val="23A203FB"/>
    <w:rsid w:val="25CE4695"/>
    <w:rsid w:val="25DB4D11"/>
    <w:rsid w:val="267A505B"/>
    <w:rsid w:val="28076257"/>
    <w:rsid w:val="2B9D0E7C"/>
    <w:rsid w:val="2BD42737"/>
    <w:rsid w:val="2DBE490C"/>
    <w:rsid w:val="2DCD72D4"/>
    <w:rsid w:val="2E34061A"/>
    <w:rsid w:val="307141C1"/>
    <w:rsid w:val="313C2340"/>
    <w:rsid w:val="32682A68"/>
    <w:rsid w:val="32EF0533"/>
    <w:rsid w:val="37DA2395"/>
    <w:rsid w:val="39375256"/>
    <w:rsid w:val="3F2C3B05"/>
    <w:rsid w:val="469A1A70"/>
    <w:rsid w:val="481F59AC"/>
    <w:rsid w:val="49877D6A"/>
    <w:rsid w:val="4CF17718"/>
    <w:rsid w:val="5059113A"/>
    <w:rsid w:val="53B80D98"/>
    <w:rsid w:val="559B67EA"/>
    <w:rsid w:val="56D27B00"/>
    <w:rsid w:val="57BD2906"/>
    <w:rsid w:val="58821375"/>
    <w:rsid w:val="5AC82171"/>
    <w:rsid w:val="611D0AE5"/>
    <w:rsid w:val="61983AC9"/>
    <w:rsid w:val="644B4006"/>
    <w:rsid w:val="64B6329F"/>
    <w:rsid w:val="653D0B7B"/>
    <w:rsid w:val="66F2233D"/>
    <w:rsid w:val="6E8458D3"/>
    <w:rsid w:val="6F8A18A5"/>
    <w:rsid w:val="706D3841"/>
    <w:rsid w:val="727424D1"/>
    <w:rsid w:val="73035CFD"/>
    <w:rsid w:val="73A04EEB"/>
    <w:rsid w:val="75195688"/>
    <w:rsid w:val="76000A93"/>
    <w:rsid w:val="773A7DA2"/>
    <w:rsid w:val="78654DF4"/>
    <w:rsid w:val="789E29D0"/>
    <w:rsid w:val="78BD247C"/>
    <w:rsid w:val="793C079E"/>
    <w:rsid w:val="7F741BB7"/>
    <w:rsid w:val="7F7F3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5">
    <w:name w:val="Body Text Indent"/>
    <w:basedOn w:val="1"/>
    <w:qFormat/>
    <w:uiPriority w:val="0"/>
    <w:pPr>
      <w:ind w:firstLine="420" w:firstLineChars="200"/>
    </w:pPr>
    <w:rPr>
      <w:szCs w:val="2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2022-01-07T05:34:50Z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550A91D75FD74778A1E706BB961D85C0</vt:lpwstr>
  </property>
  <property fmtid="{D5CDD505-2E9C-101B-9397-08002B2CF9AE}" pid="3" name="KSOProductBuildVer">
    <vt:lpwstr>2052-11.1.0.11194</vt:lpwstr>
  </property>
</Properties>
</file>