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衡水市东晨矿山机械制造有限公司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10474-2025-Q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河北省衡水市阜城县霞口镇工业区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河北省衡水市阜城县霞口镇工业区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王如玉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2025年05月17日 08:00至2025年05月17日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Q:高铬铸铁泵件、排水管件、1-6加伦餐具、球铁法兰、阀门法兰、皮带输送机设备配件（轮）的制造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17.02.00,17.12.05,18.01.03,18.01.04,18.01.05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17.02.00,17.12.05,18.01.03,18.01.04,18.01.05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15138845019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刘达军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13093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郭增辉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7540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