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rFonts w:ascii="宋体" w:hAnsi="宋体"/>
          <w:szCs w:val="21"/>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bookmarkStart w:id="4" w:name="EnMS勾选"/>
      <w:r>
        <w:rPr>
          <w:rFonts w:hint="eastAsia"/>
          <w:b/>
          <w:sz w:val="22"/>
          <w:szCs w:val="22"/>
        </w:rPr>
        <w:t>□</w:t>
      </w:r>
      <w:bookmarkEnd w:id="4"/>
      <w:r>
        <w:rPr>
          <w:rFonts w:hint="eastAsia"/>
          <w:b/>
          <w:sz w:val="22"/>
          <w:szCs w:val="22"/>
        </w:rPr>
        <w:t>EnMS</w:t>
      </w:r>
      <w:bookmarkStart w:id="5" w:name="F勾选"/>
      <w:r>
        <w:rPr>
          <w:rFonts w:hint="eastAsia"/>
          <w:b/>
          <w:sz w:val="22"/>
          <w:szCs w:val="22"/>
        </w:rPr>
        <w:t>□</w:t>
      </w:r>
      <w:bookmarkEnd w:id="5"/>
      <w:r>
        <w:rPr>
          <w:rFonts w:hint="eastAsia"/>
          <w:b/>
          <w:sz w:val="22"/>
          <w:szCs w:val="22"/>
        </w:rPr>
        <w:t xml:space="preserve">FSMS </w:t>
      </w:r>
      <w:bookmarkStart w:id="6" w:name="H勾选"/>
      <w:r>
        <w:rPr>
          <w:rFonts w:hint="eastAsia"/>
          <w:b/>
          <w:sz w:val="22"/>
          <w:szCs w:val="22"/>
        </w:rPr>
        <w:t>□</w:t>
      </w:r>
      <w:bookmarkEnd w:id="6"/>
      <w:r>
        <w:rPr>
          <w:rFonts w:hint="eastAsia"/>
          <w:b/>
          <w:sz w:val="22"/>
          <w:szCs w:val="22"/>
        </w:rPr>
        <w:t>HACCP</w:t>
      </w:r>
    </w:p>
    <w:p>
      <w:pPr>
        <w:snapToGrid w:val="0"/>
        <w:spacing w:after="120" w:afterLines="50" w:line="320" w:lineRule="exact"/>
        <w:jc w:val="center"/>
        <w:rPr>
          <w:rFonts w:eastAsia="隶书"/>
          <w:b/>
          <w:sz w:val="22"/>
          <w:szCs w:val="22"/>
        </w:rPr>
      </w:pP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340"/>
        <w:gridCol w:w="1119"/>
        <w:gridCol w:w="568"/>
        <w:gridCol w:w="1211"/>
        <w:gridCol w:w="145"/>
        <w:gridCol w:w="478"/>
        <w:gridCol w:w="100"/>
        <w:gridCol w:w="900"/>
        <w:gridCol w:w="805"/>
        <w:gridCol w:w="128"/>
        <w:gridCol w:w="62"/>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50"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3621" w:type="dxa"/>
            <w:gridSpan w:val="6"/>
            <w:tcBorders>
              <w:top w:val="single" w:color="auto" w:sz="8" w:space="0"/>
            </w:tcBorders>
            <w:vAlign w:val="center"/>
          </w:tcPr>
          <w:p>
            <w:pPr>
              <w:snapToGrid w:val="0"/>
              <w:spacing w:line="280" w:lineRule="exact"/>
              <w:jc w:val="center"/>
              <w:rPr>
                <w:b/>
                <w:sz w:val="20"/>
              </w:rPr>
            </w:pPr>
            <w:bookmarkStart w:id="7" w:name="组织名称"/>
            <w:r>
              <w:rPr>
                <w:b/>
                <w:sz w:val="20"/>
              </w:rPr>
              <w:t>北京祥和园林绿化工程有限公司</w:t>
            </w:r>
            <w:bookmarkEnd w:id="7"/>
          </w:p>
        </w:tc>
        <w:tc>
          <w:tcPr>
            <w:tcW w:w="1833" w:type="dxa"/>
            <w:gridSpan w:val="3"/>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2969" w:type="dxa"/>
            <w:gridSpan w:val="3"/>
            <w:tcBorders>
              <w:top w:val="single" w:color="auto" w:sz="8" w:space="0"/>
            </w:tcBorders>
            <w:vAlign w:val="center"/>
          </w:tcPr>
          <w:p>
            <w:pPr>
              <w:snapToGrid w:val="0"/>
              <w:spacing w:line="280" w:lineRule="exact"/>
              <w:ind w:left="52"/>
              <w:jc w:val="center"/>
              <w:rPr>
                <w:b/>
                <w:sz w:val="20"/>
              </w:rPr>
            </w:pPr>
            <w:bookmarkStart w:id="8" w:name="专业代码"/>
            <w:r>
              <w:rPr>
                <w:b/>
                <w:sz w:val="20"/>
              </w:rPr>
              <w:t>Q：32.15.03;35.17.00</w:t>
            </w:r>
          </w:p>
          <w:p>
            <w:pPr>
              <w:snapToGrid w:val="0"/>
              <w:spacing w:line="280" w:lineRule="exact"/>
              <w:ind w:left="52"/>
              <w:jc w:val="center"/>
              <w:rPr>
                <w:b/>
                <w:sz w:val="20"/>
              </w:rPr>
            </w:pPr>
            <w:r>
              <w:rPr>
                <w:b/>
                <w:sz w:val="20"/>
              </w:rPr>
              <w:t>E：32.15.03;35.17.00</w:t>
            </w:r>
          </w:p>
          <w:p>
            <w:pPr>
              <w:snapToGrid w:val="0"/>
              <w:spacing w:line="280" w:lineRule="exact"/>
              <w:ind w:left="52"/>
              <w:jc w:val="center"/>
              <w:rPr>
                <w:b/>
                <w:sz w:val="20"/>
              </w:rPr>
            </w:pPr>
            <w:r>
              <w:rPr>
                <w:b/>
                <w:sz w:val="20"/>
              </w:rPr>
              <w:t>O：32.15.03;35.17.00</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50" w:type="dxa"/>
            <w:gridSpan w:val="2"/>
            <w:vAlign w:val="center"/>
          </w:tcPr>
          <w:p>
            <w:pPr>
              <w:snapToGrid w:val="0"/>
              <w:spacing w:line="280" w:lineRule="exact"/>
              <w:jc w:val="center"/>
              <w:rPr>
                <w:b/>
                <w:sz w:val="22"/>
                <w:szCs w:val="22"/>
              </w:rPr>
            </w:pPr>
            <w:r>
              <w:rPr>
                <w:rFonts w:hint="eastAsia"/>
                <w:b/>
                <w:sz w:val="22"/>
                <w:szCs w:val="22"/>
              </w:rPr>
              <w:t>教师姓名</w:t>
            </w:r>
          </w:p>
        </w:tc>
        <w:tc>
          <w:tcPr>
            <w:tcW w:w="1687" w:type="dxa"/>
            <w:gridSpan w:val="2"/>
            <w:vAlign w:val="center"/>
          </w:tcPr>
          <w:p>
            <w:pPr>
              <w:snapToGrid w:val="0"/>
              <w:spacing w:line="280" w:lineRule="exact"/>
              <w:jc w:val="center"/>
              <w:rPr>
                <w:rFonts w:hint="eastAsia" w:eastAsia="宋体"/>
                <w:b/>
                <w:sz w:val="20"/>
                <w:lang w:val="en-US" w:eastAsia="zh-CN"/>
              </w:rPr>
            </w:pPr>
            <w:r>
              <w:rPr>
                <w:rFonts w:ascii="宋体" w:hAnsi="宋体" w:cs="宋体"/>
                <w:color w:val="000000"/>
                <w:kern w:val="0"/>
                <w:szCs w:val="21"/>
              </w:rPr>
              <w:t>李京田</w:t>
            </w:r>
            <w:r>
              <w:rPr>
                <w:rFonts w:hint="eastAsia" w:ascii="宋体" w:hAnsi="宋体" w:cs="宋体"/>
                <w:color w:val="000000"/>
                <w:kern w:val="0"/>
                <w:szCs w:val="21"/>
                <w:lang w:val="en-US" w:eastAsia="zh-CN"/>
              </w:rPr>
              <w:t>/</w:t>
            </w:r>
            <w:r>
              <w:rPr>
                <w:rFonts w:ascii="宋体" w:hAnsi="宋体" w:cs="宋体"/>
                <w:color w:val="000000"/>
                <w:kern w:val="0"/>
                <w:szCs w:val="21"/>
              </w:rPr>
              <w:t>王钰</w:t>
            </w:r>
          </w:p>
        </w:tc>
        <w:tc>
          <w:tcPr>
            <w:tcW w:w="1211" w:type="dxa"/>
            <w:vAlign w:val="center"/>
          </w:tcPr>
          <w:p>
            <w:pPr>
              <w:snapToGrid w:val="0"/>
              <w:spacing w:line="280" w:lineRule="exact"/>
              <w:jc w:val="center"/>
              <w:rPr>
                <w:b/>
                <w:sz w:val="22"/>
                <w:szCs w:val="22"/>
              </w:rPr>
            </w:pPr>
            <w:r>
              <w:rPr>
                <w:rFonts w:hint="eastAsia"/>
                <w:b/>
                <w:sz w:val="22"/>
                <w:szCs w:val="22"/>
              </w:rPr>
              <w:t>专业</w:t>
            </w:r>
          </w:p>
        </w:tc>
        <w:tc>
          <w:tcPr>
            <w:tcW w:w="2428" w:type="dxa"/>
            <w:gridSpan w:val="5"/>
            <w:vAlign w:val="center"/>
          </w:tcPr>
          <w:p>
            <w:pPr>
              <w:snapToGrid w:val="0"/>
              <w:spacing w:line="280" w:lineRule="exact"/>
              <w:ind w:left="52"/>
              <w:jc w:val="center"/>
              <w:rPr>
                <w:b/>
                <w:sz w:val="20"/>
              </w:rPr>
            </w:pPr>
            <w:r>
              <w:rPr>
                <w:b/>
                <w:sz w:val="20"/>
              </w:rPr>
              <w:t>Q：32.15.03;35.17.00</w:t>
            </w:r>
          </w:p>
          <w:p>
            <w:pPr>
              <w:snapToGrid w:val="0"/>
              <w:spacing w:line="280" w:lineRule="exact"/>
              <w:ind w:left="52"/>
              <w:jc w:val="center"/>
              <w:rPr>
                <w:b/>
                <w:sz w:val="20"/>
              </w:rPr>
            </w:pPr>
            <w:r>
              <w:rPr>
                <w:b/>
                <w:sz w:val="20"/>
              </w:rPr>
              <w:t>E：32.15.03;35.17.00</w:t>
            </w:r>
          </w:p>
          <w:p>
            <w:pPr>
              <w:snapToGrid w:val="0"/>
              <w:spacing w:line="280" w:lineRule="exact"/>
              <w:jc w:val="center"/>
              <w:rPr>
                <w:b/>
                <w:sz w:val="20"/>
              </w:rPr>
            </w:pPr>
            <w:r>
              <w:rPr>
                <w:b/>
                <w:sz w:val="20"/>
              </w:rPr>
              <w:t>O：32.15.03;35.17.00</w:t>
            </w:r>
          </w:p>
        </w:tc>
        <w:tc>
          <w:tcPr>
            <w:tcW w:w="1719" w:type="dxa"/>
            <w:gridSpan w:val="3"/>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10" w:type="dxa"/>
            <w:tcBorders>
              <w:left w:val="single" w:color="auto" w:sz="4" w:space="0"/>
            </w:tcBorders>
            <w:vAlign w:val="center"/>
          </w:tcPr>
          <w:p>
            <w:pPr>
              <w:snapToGrid w:val="0"/>
              <w:spacing w:line="360" w:lineRule="exact"/>
              <w:jc w:val="center"/>
              <w:rPr>
                <w:b/>
                <w:sz w:val="20"/>
              </w:rPr>
            </w:pPr>
            <w:bookmarkStart w:id="9" w:name="_GoBack" w:colFirst="3" w:colLast="3"/>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b/>
                <w:sz w:val="20"/>
              </w:rPr>
            </w:pPr>
            <w:r>
              <w:rPr>
                <w:rFonts w:ascii="宋体" w:hAnsi="宋体" w:cs="宋体"/>
                <w:color w:val="000000"/>
                <w:kern w:val="0"/>
                <w:szCs w:val="21"/>
              </w:rPr>
              <w:t>李京田</w:t>
            </w:r>
          </w:p>
        </w:tc>
        <w:tc>
          <w:tcPr>
            <w:tcW w:w="1924" w:type="dxa"/>
            <w:gridSpan w:val="3"/>
            <w:vAlign w:val="center"/>
          </w:tcPr>
          <w:p>
            <w:pPr>
              <w:snapToGrid w:val="0"/>
              <w:spacing w:line="360" w:lineRule="exact"/>
              <w:jc w:val="center"/>
              <w:rPr>
                <w:b/>
                <w:sz w:val="20"/>
              </w:rPr>
            </w:pPr>
            <w:r>
              <w:rPr>
                <w:rFonts w:ascii="宋体" w:hAnsi="宋体" w:cs="宋体"/>
                <w:color w:val="000000"/>
                <w:kern w:val="0"/>
                <w:szCs w:val="21"/>
              </w:rPr>
              <w:t>李雅静</w:t>
            </w:r>
          </w:p>
        </w:tc>
        <w:tc>
          <w:tcPr>
            <w:tcW w:w="1478" w:type="dxa"/>
            <w:gridSpan w:val="3"/>
            <w:vAlign w:val="center"/>
          </w:tcPr>
          <w:p>
            <w:pPr>
              <w:snapToGrid w:val="0"/>
              <w:spacing w:line="360" w:lineRule="exact"/>
              <w:jc w:val="center"/>
              <w:rPr>
                <w:b/>
                <w:sz w:val="20"/>
              </w:rPr>
            </w:pPr>
            <w:r>
              <w:rPr>
                <w:rFonts w:ascii="宋体" w:hAnsi="宋体" w:cs="宋体"/>
                <w:color w:val="000000"/>
                <w:kern w:val="0"/>
                <w:szCs w:val="21"/>
              </w:rPr>
              <w:t>朱晓丽</w:t>
            </w:r>
          </w:p>
        </w:tc>
        <w:tc>
          <w:tcPr>
            <w:tcW w:w="805" w:type="dxa"/>
            <w:vAlign w:val="center"/>
          </w:tcPr>
          <w:p>
            <w:pPr>
              <w:snapToGrid w:val="0"/>
              <w:spacing w:line="360" w:lineRule="exact"/>
              <w:jc w:val="center"/>
              <w:rPr>
                <w:b/>
                <w:sz w:val="20"/>
              </w:rPr>
            </w:pPr>
          </w:p>
        </w:tc>
        <w:tc>
          <w:tcPr>
            <w:tcW w:w="1719" w:type="dxa"/>
            <w:gridSpan w:val="3"/>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bookmarkEnd w:id="9"/>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50"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3" w:type="dxa"/>
            <w:gridSpan w:val="12"/>
            <w:vAlign w:val="center"/>
          </w:tcPr>
          <w:p>
            <w:pPr>
              <w:snapToGrid w:val="0"/>
              <w:spacing w:line="280" w:lineRule="exact"/>
              <w:rPr>
                <w:rFonts w:hint="eastAsia"/>
                <w:b/>
                <w:sz w:val="20"/>
              </w:rPr>
            </w:pPr>
            <w:r>
              <w:rPr>
                <w:rFonts w:hint="eastAsia" w:ascii="Times New Roman" w:hAnsi="Times New Roman" w:eastAsia="宋体" w:cs="Times New Roman"/>
                <w:b/>
                <w:sz w:val="20"/>
              </w:rPr>
              <w:t>城市园林绿化服务</w:t>
            </w:r>
            <w:r>
              <w:rPr>
                <w:rFonts w:hint="eastAsia"/>
                <w:b/>
                <w:sz w:val="20"/>
              </w:rPr>
              <w:t>流程：</w:t>
            </w:r>
          </w:p>
          <w:p>
            <w:pPr>
              <w:snapToGrid w:val="0"/>
              <w:spacing w:line="280" w:lineRule="exact"/>
              <w:rPr>
                <w:rFonts w:hint="eastAsia"/>
                <w:b/>
                <w:sz w:val="20"/>
              </w:rPr>
            </w:pPr>
            <w:r>
              <w:rPr>
                <w:rFonts w:hint="eastAsia"/>
                <w:b/>
                <w:sz w:val="20"/>
              </w:rPr>
              <w:t>客户洽谈→合同签订→材料采购→进场报验→项目施工→过程检验→竣工验收→后期服务。</w:t>
            </w:r>
          </w:p>
          <w:p>
            <w:pPr>
              <w:snapToGrid w:val="0"/>
              <w:spacing w:line="280" w:lineRule="exact"/>
              <w:rPr>
                <w:rFonts w:hint="eastAsia"/>
                <w:b/>
                <w:sz w:val="20"/>
              </w:rPr>
            </w:pPr>
            <w:r>
              <w:rPr>
                <w:rFonts w:hint="eastAsia"/>
                <w:b/>
                <w:sz w:val="20"/>
              </w:rPr>
              <w:t>租摆流程：</w:t>
            </w:r>
          </w:p>
          <w:p>
            <w:pPr>
              <w:snapToGrid w:val="0"/>
              <w:spacing w:line="280" w:lineRule="exact"/>
              <w:rPr>
                <w:rFonts w:hint="eastAsia"/>
                <w:b/>
                <w:sz w:val="20"/>
              </w:rPr>
            </w:pPr>
            <w:r>
              <w:rPr>
                <w:rFonts w:hint="eastAsia"/>
                <w:b/>
                <w:sz w:val="20"/>
              </w:rPr>
              <w:t>客户接触----客户需求---客户付款----入帐------市场采购（小、中、大花卉、盆景）-----客户提货-----验收---办理租赁手续----卖方直接送货（小、中、大花卉、盆景）</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50"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3" w:type="dxa"/>
            <w:gridSpan w:val="12"/>
            <w:vAlign w:val="center"/>
          </w:tcPr>
          <w:p>
            <w:pPr>
              <w:snapToGrid w:val="0"/>
              <w:spacing w:line="280" w:lineRule="exact"/>
              <w:rPr>
                <w:rFonts w:hint="default"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特殊过程：</w:t>
            </w:r>
            <w:r>
              <w:rPr>
                <w:rFonts w:hint="eastAsia" w:ascii="Times New Roman" w:hAnsi="Times New Roman" w:eastAsia="宋体" w:cs="Times New Roman"/>
                <w:b/>
                <w:sz w:val="20"/>
              </w:rPr>
              <w:t>园林绿化服务</w:t>
            </w:r>
            <w:r>
              <w:rPr>
                <w:rFonts w:hint="eastAsia" w:ascii="Times New Roman" w:hAnsi="Times New Roman" w:eastAsia="宋体" w:cs="Times New Roman"/>
                <w:b/>
                <w:sz w:val="20"/>
                <w:lang w:val="en-US" w:eastAsia="zh-CN"/>
              </w:rPr>
              <w:t xml:space="preserve">过程  </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苗木管理</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（1）清杂放样</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 xml:space="preserve">1.根据提供的场地实际情况，清理土层表面的杂物垃圾，清除的杂物及时运出场地，回填符合设计要求的种植土从而达到栽培的标准 </w:t>
            </w:r>
            <w:r>
              <w:rPr>
                <w:rFonts w:hint="eastAsia" w:ascii="Times New Roman" w:hAnsi="Times New Roman" w:eastAsia="宋体" w:cs="Times New Roman"/>
                <w:b/>
                <w:sz w:val="20"/>
              </w:rPr>
              <w:br w:type="textWrapping"/>
            </w:r>
            <w:r>
              <w:rPr>
                <w:rFonts w:hint="eastAsia" w:ascii="Times New Roman" w:hAnsi="Times New Roman" w:eastAsia="宋体" w:cs="Times New Roman"/>
                <w:b/>
                <w:sz w:val="20"/>
              </w:rPr>
              <w:t>2.按照规划设计要求及景观植物生长需要，进行适度场地平整、回填、清理至设计制定标高，一般土壤坡度为1%--2%利于排水</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（2）苗木栽植</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1.熟悉图纸，逐一进行校对</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2.挖塘（适用时）</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3.换土</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4.施基肥</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5.扶正 根据规划要求，确保竖直就是苗木梢部与基部垂直</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6.浇水培土</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 xml:space="preserve">（3）整形 </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短剪：剪去枝条的一部分，保留枝条一定长度和一定数量的杆体，对枝体有一定促进作用确保树形效果。</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疏枝：将树冠中间的过密枝条按影响匀称的要求从基部剪去使枝条密度减小，树冠透风透光，减少水分蒸发。</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苗木支撑：主要程序有制桩、打桩、绑扎、清理</w:t>
            </w:r>
          </w:p>
          <w:p>
            <w:pPr>
              <w:snapToGrid w:val="0"/>
              <w:spacing w:line="280" w:lineRule="exact"/>
              <w:rPr>
                <w:rFonts w:hint="eastAsia" w:ascii="Times New Roman" w:hAnsi="Times New Roman" w:eastAsia="宋体" w:cs="Times New Roman"/>
                <w:b/>
                <w:sz w:val="20"/>
              </w:rPr>
            </w:pPr>
          </w:p>
          <w:p>
            <w:pPr>
              <w:snapToGrid w:val="0"/>
              <w:spacing w:line="28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50"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3" w:type="dxa"/>
            <w:gridSpan w:val="12"/>
            <w:vAlign w:val="center"/>
          </w:tcPr>
          <w:p>
            <w:pPr>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1）</w:t>
            </w:r>
            <w:r>
              <w:rPr>
                <w:rFonts w:asciiTheme="minorEastAsia" w:hAnsiTheme="minorEastAsia" w:eastAsiaTheme="minorEastAsia"/>
                <w:color w:val="auto"/>
                <w:szCs w:val="21"/>
              </w:rPr>
              <w:t>固体废弃物排放的管控</w:t>
            </w:r>
            <w:r>
              <w:rPr>
                <w:rFonts w:hint="eastAsia" w:asciiTheme="minorEastAsia" w:hAnsiTheme="minorEastAsia" w:eastAsiaTheme="minorEastAsia"/>
                <w:color w:val="auto"/>
                <w:szCs w:val="21"/>
              </w:rPr>
              <w:t>：</w:t>
            </w:r>
          </w:p>
          <w:p>
            <w:pPr>
              <w:pStyle w:val="14"/>
              <w:ind w:firstLine="0" w:firstLineChars="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制定并实施</w:t>
            </w:r>
            <w:r>
              <w:rPr>
                <w:rFonts w:hint="eastAsia" w:asciiTheme="minorEastAsia" w:hAnsiTheme="minorEastAsia" w:eastAsiaTheme="minorEastAsia"/>
                <w:bCs/>
                <w:color w:val="auto"/>
                <w:szCs w:val="21"/>
              </w:rPr>
              <w:t>《运行控制程序》中固体废弃物控制要求</w:t>
            </w:r>
            <w:r>
              <w:rPr>
                <w:rFonts w:hint="eastAsia" w:asciiTheme="minorEastAsia" w:hAnsiTheme="minorEastAsia" w:eastAsiaTheme="minorEastAsia"/>
                <w:color w:val="auto"/>
                <w:szCs w:val="21"/>
              </w:rPr>
              <w:t>。办公室负责废弃物的分类、收集、保管、由有资质的市政环卫公司合法拉运、处置。现场分设：可回收一般废弃物、不可回收一般废弃物，员工能按要求分类放置固体废弃物。</w:t>
            </w:r>
          </w:p>
          <w:p>
            <w:pPr>
              <w:pStyle w:val="14"/>
              <w:ind w:firstLine="0" w:firstLineChars="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p>
            <w:pPr>
              <w:pStyle w:val="14"/>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2）废气排放</w:t>
            </w:r>
            <w:r>
              <w:rPr>
                <w:rFonts w:asciiTheme="minorEastAsia" w:hAnsiTheme="minorEastAsia" w:eastAsiaTheme="minorEastAsia"/>
                <w:color w:val="auto"/>
                <w:szCs w:val="21"/>
              </w:rPr>
              <w:t>管控</w:t>
            </w:r>
            <w:r>
              <w:rPr>
                <w:rFonts w:hint="eastAsia" w:asciiTheme="minorEastAsia" w:hAnsiTheme="minorEastAsia" w:eastAsiaTheme="minorEastAsia"/>
                <w:color w:val="auto"/>
                <w:szCs w:val="21"/>
              </w:rPr>
              <w:t>：</w:t>
            </w:r>
          </w:p>
          <w:p>
            <w:pPr>
              <w:pStyle w:val="13"/>
              <w:rPr>
                <w:rFonts w:ascii="楷体" w:hAnsi="楷体" w:eastAsia="楷体" w:cs="楷体"/>
                <w:color w:val="auto"/>
                <w:sz w:val="24"/>
                <w:szCs w:val="24"/>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现场作业在户外，绿化不产生废气，在施工过程中产生少量灰尘，工人佩戴口罩进行防护</w:t>
            </w:r>
          </w:p>
          <w:p>
            <w:pPr>
              <w:pStyle w:val="13"/>
              <w:numPr>
                <w:ilvl w:val="0"/>
                <w:numId w:val="0"/>
              </w:numPr>
              <w:rPr>
                <w:rFonts w:hint="default" w:ascii="宋体"/>
                <w:color w:val="auto"/>
                <w:kern w:val="0"/>
                <w:szCs w:val="21"/>
                <w:highlight w:val="none"/>
                <w:lang w:val="en-US" w:eastAsia="zh-CN"/>
              </w:rPr>
            </w:pPr>
            <w:r>
              <w:rPr>
                <w:rFonts w:hint="eastAsia"/>
                <w:color w:val="auto"/>
                <w:lang w:val="en-US" w:eastAsia="zh-CN"/>
              </w:rPr>
              <w:t>3）环境污染（杀虫剂对土地及空气的污染）</w:t>
            </w:r>
            <w:r>
              <w:rPr>
                <w:rStyle w:val="15"/>
                <w:rFonts w:hint="eastAsia" w:ascii="Arial" w:hAnsi="Arial" w:cs="Arial"/>
                <w:bCs w:val="0"/>
                <w:color w:val="auto"/>
                <w:spacing w:val="0"/>
                <w:shd w:val="clear" w:color="auto" w:fill="FFFFFF"/>
                <w:lang w:val="en-US" w:eastAsia="zh-CN"/>
              </w:rPr>
              <w:t>：杀虫剂等瓶子统一回收，公司员工在施工过程中佩戴口罩，提供人员体检报告，给员工上保险</w:t>
            </w:r>
          </w:p>
          <w:p>
            <w:pPr>
              <w:snapToGrid w:val="0"/>
              <w:spacing w:line="28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50"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3" w:type="dxa"/>
            <w:gridSpan w:val="12"/>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）意外火灾控制</w:t>
            </w:r>
          </w:p>
          <w:p>
            <w:pPr>
              <w:rPr>
                <w:rFonts w:hint="eastAsia" w:asciiTheme="minorEastAsia" w:hAnsiTheme="minorEastAsia" w:eastAsiaTheme="minorEastAsia"/>
                <w:bCs/>
                <w:color w:val="auto"/>
                <w:szCs w:val="21"/>
              </w:rPr>
            </w:pPr>
            <w:r>
              <w:rPr>
                <w:rFonts w:hint="eastAsia" w:asciiTheme="minorEastAsia" w:hAnsiTheme="minorEastAsia" w:eastAsiaTheme="minorEastAsia"/>
                <w:color w:val="auto"/>
                <w:szCs w:val="21"/>
              </w:rPr>
              <w:t xml:space="preserve">   组织的办公区域消防器材配置合理，每辆运输车都配置有灭火器，有灭火器等灭火器材，</w:t>
            </w:r>
            <w:r>
              <w:rPr>
                <w:rFonts w:hint="eastAsia" w:asciiTheme="minorEastAsia" w:hAnsiTheme="minorEastAsia" w:eastAsiaTheme="minorEastAsia"/>
                <w:color w:val="auto"/>
                <w:szCs w:val="21"/>
                <w:lang w:val="en-US" w:eastAsia="zh-CN"/>
              </w:rPr>
              <w:t>远程</w:t>
            </w:r>
            <w:r>
              <w:rPr>
                <w:rFonts w:hint="eastAsia" w:asciiTheme="minorEastAsia" w:hAnsiTheme="minorEastAsia" w:eastAsiaTheme="minorEastAsia"/>
                <w:color w:val="auto"/>
                <w:szCs w:val="21"/>
              </w:rPr>
              <w:t>现场确认正常，《消防安全点检表》按规定实施检查；各部门不定期的对本部门防火工作进行消防安全检查，对查出的问题和隐患，及时进行整改解决，确保安全；定期对员工进行火灾安全意识培训。</w:t>
            </w:r>
          </w:p>
          <w:p>
            <w:pPr>
              <w:ind w:firstLine="24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）意外伤害控制</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13"/>
              <w:rPr>
                <w:rFonts w:hint="eastAsia" w:ascii="宋体"/>
                <w:color w:val="auto"/>
                <w:kern w:val="0"/>
                <w:szCs w:val="21"/>
                <w:highlight w:val="none"/>
              </w:rPr>
            </w:pPr>
            <w:r>
              <w:rPr>
                <w:rFonts w:hint="eastAsia" w:ascii="宋体"/>
                <w:color w:val="auto"/>
                <w:kern w:val="0"/>
                <w:szCs w:val="21"/>
                <w:highlight w:val="none"/>
              </w:rPr>
              <w:t>查，</w:t>
            </w:r>
            <w:r>
              <w:rPr>
                <w:rFonts w:hint="eastAsia" w:ascii="宋体"/>
                <w:color w:val="auto"/>
                <w:kern w:val="0"/>
                <w:szCs w:val="21"/>
                <w:highlight w:val="none"/>
                <w:lang w:eastAsia="zh-CN"/>
              </w:rPr>
              <w:t>运输</w:t>
            </w:r>
            <w:r>
              <w:rPr>
                <w:rFonts w:hint="eastAsia" w:ascii="宋体"/>
                <w:color w:val="auto"/>
                <w:kern w:val="0"/>
                <w:szCs w:val="21"/>
                <w:highlight w:val="none"/>
              </w:rPr>
              <w:t>部员工定期参加操作规程的培训,并进行了三级安全教育。</w:t>
            </w:r>
          </w:p>
          <w:p>
            <w:pPr>
              <w:snapToGrid w:val="0"/>
              <w:spacing w:line="280" w:lineRule="exact"/>
              <w:jc w:val="center"/>
              <w:rPr>
                <w:rFonts w:ascii="Times New Roman" w:hAnsi="Times New Roman" w:eastAsia="宋体" w:cs="Times New Roman"/>
                <w:b/>
                <w:kern w:val="2"/>
                <w:sz w:val="20"/>
                <w:lang w:val="en-US" w:eastAsia="zh-CN" w:bidi="ar-SA"/>
              </w:rPr>
            </w:pPr>
            <w:r>
              <w:rPr>
                <w:rFonts w:hint="eastAsia" w:ascii="宋体"/>
                <w:color w:val="auto"/>
                <w:kern w:val="0"/>
                <w:szCs w:val="21"/>
                <w:highlight w:val="none"/>
                <w:lang w:val="en-US" w:eastAsia="zh-CN"/>
              </w:rPr>
              <w:t>3）触电：</w:t>
            </w:r>
            <w:r>
              <w:rPr>
                <w:rFonts w:hint="eastAsia" w:ascii="宋体" w:hAnsi="Times New Roman" w:eastAsia="宋体" w:cs="Times New Roman"/>
                <w:bCs/>
                <w:color w:val="auto"/>
                <w:spacing w:val="10"/>
                <w:kern w:val="0"/>
                <w:sz w:val="21"/>
                <w:szCs w:val="21"/>
                <w:highlight w:val="none"/>
                <w:lang w:val="en-US" w:eastAsia="zh-CN" w:bidi="ar-SA"/>
              </w:rPr>
              <w:t>使用手持电动工具时先检查有无电线裸露等安全隐患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50"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3" w:type="dxa"/>
            <w:gridSpan w:val="12"/>
            <w:vAlign w:val="center"/>
          </w:tcPr>
          <w:p>
            <w:r>
              <w:t>《中华人民共和国森林法》</w:t>
            </w:r>
            <w:r>
              <w:tab/>
            </w:r>
            <w:r>
              <w:t>第九届全国人民代表大会常务委员会第二次会议</w:t>
            </w:r>
            <w:r>
              <w:tab/>
            </w:r>
            <w:r>
              <w:t>1998.4.29</w:t>
            </w:r>
          </w:p>
          <w:p>
            <w:r>
              <w:t>《中华人民共和国环境保护法（试行）》</w:t>
            </w:r>
            <w:r>
              <w:tab/>
            </w:r>
            <w:r>
              <w:t>第五届全国人民代表大会常务委员会第十一次会议</w:t>
            </w:r>
            <w:r>
              <w:tab/>
            </w:r>
            <w:r>
              <w:t>1979.9.13</w:t>
            </w:r>
          </w:p>
          <w:p>
            <w:r>
              <w:t>《中华人民共和国城乡规划法》</w:t>
            </w:r>
            <w:r>
              <w:tab/>
            </w:r>
            <w:r>
              <w:t>第十届全国人民代表大会常务委员会第三十次会</w:t>
            </w:r>
            <w:r>
              <w:tab/>
            </w:r>
            <w:r>
              <w:t>2008.1.1</w:t>
            </w:r>
          </w:p>
          <w:p>
            <w:r>
              <w:t>中华人民共和国劳动合同法</w:t>
            </w:r>
            <w:r>
              <w:tab/>
            </w:r>
            <w:r>
              <w:t>全国人大</w:t>
            </w:r>
            <w:r>
              <w:tab/>
            </w:r>
            <w:r>
              <w:t>2013/7/1</w:t>
            </w:r>
          </w:p>
          <w:p>
            <w:r>
              <w:t>《中华人民共和国招标投标法》</w:t>
            </w:r>
            <w:r>
              <w:tab/>
            </w:r>
            <w:r>
              <w:t>第九届全国人民代表大会常务委员会第十一次会议</w:t>
            </w:r>
            <w:r>
              <w:tab/>
            </w:r>
            <w:r>
              <w:t>1999.8.30</w:t>
            </w:r>
          </w:p>
          <w:p>
            <w:r>
              <w:t>园林绿化养护管理标准及评比办法</w:t>
            </w:r>
            <w:r>
              <w:tab/>
            </w:r>
            <w:r>
              <w:tab/>
            </w:r>
            <w:r>
              <w:t>2016.9</w:t>
            </w:r>
          </w:p>
          <w:p>
            <w:r>
              <w:t>城市园林苗圃育苗技术规程</w:t>
            </w:r>
            <w:r>
              <w:tab/>
            </w:r>
            <w:r>
              <w:t>CJT23-1999</w:t>
            </w:r>
            <w:r>
              <w:tab/>
            </w:r>
          </w:p>
          <w:p>
            <w:r>
              <w:t>城市绿化工程施工及验收规范</w:t>
            </w:r>
            <w:r>
              <w:tab/>
            </w:r>
            <w:r>
              <w:t>建标【1999】46号</w:t>
            </w:r>
            <w:r>
              <w:tab/>
            </w:r>
            <w:r>
              <w:t>1999.2.24</w:t>
            </w:r>
          </w:p>
          <w:p>
            <w:r>
              <w:t>关于加强城市绿地和绿化种植保护的规定</w:t>
            </w:r>
            <w:r>
              <w:tab/>
            </w:r>
            <w:r>
              <w:t>建城【1994】716号</w:t>
            </w:r>
            <w:r>
              <w:tab/>
            </w:r>
            <w:r>
              <w:t>2003.8.9</w:t>
            </w:r>
          </w:p>
          <w:p>
            <w:r>
              <w:t>国务院关于加强城市绿化建设的通知</w:t>
            </w:r>
            <w:r>
              <w:tab/>
            </w:r>
            <w:r>
              <w:t>国发【2001】20号</w:t>
            </w:r>
            <w:r>
              <w:tab/>
            </w:r>
            <w:r>
              <w:t>2001.5.21</w:t>
            </w:r>
          </w:p>
          <w:p>
            <w:r>
              <w:t>中华人民共和国森林法实施条例</w:t>
            </w:r>
            <w:r>
              <w:tab/>
            </w:r>
            <w:r>
              <w:t>2016年1月13日国务院第119次常务会议</w:t>
            </w:r>
            <w:r>
              <w:tab/>
            </w:r>
            <w:r>
              <w:t>2000年1月29日</w:t>
            </w:r>
          </w:p>
          <w:p>
            <w:pPr>
              <w:snapToGrid w:val="0"/>
              <w:spacing w:line="28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50"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3" w:type="dxa"/>
            <w:gridSpan w:val="12"/>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20"/>
                <w:lang w:val="en-US" w:eastAsia="zh-CN"/>
              </w:rPr>
              <w:t>按照合同及标准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50"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3" w:type="dxa"/>
            <w:gridSpan w:val="12"/>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50" w:type="dxa"/>
            <w:gridSpan w:val="2"/>
            <w:tcBorders>
              <w:left w:val="single" w:color="auto" w:sz="4" w:space="0"/>
            </w:tcBorders>
            <w:vAlign w:val="center"/>
          </w:tcPr>
          <w:p>
            <w:pPr>
              <w:snapToGrid w:val="0"/>
              <w:spacing w:line="280" w:lineRule="exact"/>
              <w:jc w:val="center"/>
              <w:rPr>
                <w:rFonts w:ascii="宋体"/>
                <w:b/>
                <w:sz w:val="22"/>
                <w:szCs w:val="22"/>
              </w:rPr>
            </w:pPr>
            <w:r>
              <w:drawing>
                <wp:anchor distT="0" distB="0" distL="114300" distR="114300" simplePos="0" relativeHeight="251659264" behindDoc="1" locked="0" layoutInCell="1" allowOverlap="1">
                  <wp:simplePos x="0" y="0"/>
                  <wp:positionH relativeFrom="column">
                    <wp:posOffset>1269365</wp:posOffset>
                  </wp:positionH>
                  <wp:positionV relativeFrom="paragraph">
                    <wp:posOffset>-28575</wp:posOffset>
                  </wp:positionV>
                  <wp:extent cx="908050" cy="514350"/>
                  <wp:effectExtent l="0" t="0" r="635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8050" cy="514350"/>
                          </a:xfrm>
                          <a:prstGeom prst="rect">
                            <a:avLst/>
                          </a:prstGeom>
                          <a:noFill/>
                          <a:ln>
                            <a:noFill/>
                          </a:ln>
                        </pic:spPr>
                      </pic:pic>
                    </a:graphicData>
                  </a:graphic>
                </wp:anchor>
              </w:drawing>
            </w: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3521" w:type="dxa"/>
            <w:gridSpan w:val="5"/>
            <w:vAlign w:val="center"/>
          </w:tcPr>
          <w:p>
            <w:pPr>
              <w:snapToGrid w:val="0"/>
              <w:spacing w:line="280" w:lineRule="exact"/>
              <w:jc w:val="center"/>
              <w:rPr>
                <w:rFonts w:hint="eastAsia" w:eastAsia="宋体"/>
                <w:b/>
                <w:sz w:val="20"/>
                <w:lang w:val="en-US" w:eastAsia="zh-CN"/>
              </w:rPr>
            </w:pPr>
            <w:r>
              <w:rPr>
                <w:rFonts w:hint="eastAsia"/>
                <w:b/>
                <w:sz w:val="20"/>
                <w:lang w:val="en-US" w:eastAsia="zh-CN"/>
              </w:rPr>
              <w:t xml:space="preserve"> </w:t>
            </w:r>
          </w:p>
        </w:tc>
        <w:tc>
          <w:tcPr>
            <w:tcW w:w="1995" w:type="dxa"/>
            <w:gridSpan w:val="5"/>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2021.12.8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50"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3521" w:type="dxa"/>
            <w:gridSpan w:val="5"/>
            <w:tcBorders>
              <w:bottom w:val="single" w:color="auto" w:sz="8" w:space="0"/>
            </w:tcBorders>
            <w:vAlign w:val="center"/>
          </w:tcPr>
          <w:p>
            <w:pPr>
              <w:snapToGrid w:val="0"/>
              <w:spacing w:line="280" w:lineRule="exact"/>
              <w:jc w:val="center"/>
              <w:rPr>
                <w:b/>
                <w:sz w:val="20"/>
              </w:rPr>
            </w:pPr>
            <w:r>
              <w:drawing>
                <wp:anchor distT="0" distB="0" distL="114300" distR="114300" simplePos="0" relativeHeight="251660288" behindDoc="1" locked="0" layoutInCell="1" allowOverlap="1">
                  <wp:simplePos x="0" y="0"/>
                  <wp:positionH relativeFrom="column">
                    <wp:posOffset>486410</wp:posOffset>
                  </wp:positionH>
                  <wp:positionV relativeFrom="paragraph">
                    <wp:posOffset>101600</wp:posOffset>
                  </wp:positionV>
                  <wp:extent cx="847725" cy="368300"/>
                  <wp:effectExtent l="0" t="0" r="3175"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963295</wp:posOffset>
                  </wp:positionH>
                  <wp:positionV relativeFrom="paragraph">
                    <wp:posOffset>-331470</wp:posOffset>
                  </wp:positionV>
                  <wp:extent cx="847725" cy="368300"/>
                  <wp:effectExtent l="0" t="0" r="317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anchor>
              </w:drawing>
            </w:r>
          </w:p>
        </w:tc>
        <w:tc>
          <w:tcPr>
            <w:tcW w:w="1995" w:type="dxa"/>
            <w:gridSpan w:val="5"/>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rFonts w:hint="default"/>
                <w:b/>
                <w:sz w:val="20"/>
                <w:lang w:val="en-US"/>
              </w:rPr>
            </w:pPr>
            <w:r>
              <w:rPr>
                <w:rFonts w:hint="eastAsia"/>
                <w:b/>
                <w:sz w:val="20"/>
                <w:lang w:val="en-US" w:eastAsia="zh-CN"/>
              </w:rPr>
              <w:t>2021.12.8</w:t>
            </w:r>
          </w:p>
        </w:tc>
      </w:tr>
    </w:tbl>
    <w:p>
      <w:pPr>
        <w:snapToGrid w:val="0"/>
        <w:rPr>
          <w:rFonts w:ascii="宋体"/>
          <w:b/>
          <w:sz w:val="22"/>
          <w:szCs w:val="22"/>
        </w:rPr>
      </w:pPr>
    </w:p>
    <w:p>
      <w:pPr>
        <w:snapToGrid w:val="0"/>
        <w:rPr>
          <w:rFonts w:ascii="宋体"/>
          <w:b/>
          <w:spacing w:val="-6"/>
          <w:sz w:val="21"/>
          <w:szCs w:val="21"/>
        </w:rPr>
      </w:pPr>
      <w:r>
        <w:rPr>
          <w:rFonts w:hint="eastAsia" w:ascii="宋体"/>
          <w:b/>
          <w:spacing w:val="-6"/>
          <w:sz w:val="21"/>
          <w:szCs w:val="21"/>
        </w:rPr>
        <w:t>注：如有其他培训内容或空格不够可另加附页</w:t>
      </w:r>
    </w:p>
    <w:sectPr>
      <w:headerReference r:id="rId3" w:type="default"/>
      <w:pgSz w:w="11906" w:h="16838"/>
      <w:pgMar w:top="1134" w:right="1077" w:bottom="1134" w:left="1077" w:header="454"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-140970</wp:posOffset>
          </wp:positionH>
          <wp:positionV relativeFrom="paragraph">
            <wp:posOffset>-107315</wp:posOffset>
          </wp:positionV>
          <wp:extent cx="485775" cy="485775"/>
          <wp:effectExtent l="19050" t="0" r="9525"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48.4pt;margin-top:11.35pt;height:20.2pt;width:109.3pt;z-index:251660288;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single" w:color="auto" w:sz="4" w:space="1"/>
      </w:pBdr>
      <w:spacing w:line="320" w:lineRule="exact"/>
      <w:ind w:firstLine="756" w:firstLineChars="400"/>
      <w:jc w:val="left"/>
      <w:rPr>
        <w:sz w:val="20"/>
      </w:rPr>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3A478B"/>
    <w:rsid w:val="38F8597A"/>
    <w:rsid w:val="4445664F"/>
    <w:rsid w:val="64715829"/>
    <w:rsid w:val="6B924B22"/>
    <w:rsid w:val="774C74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4"/>
    <w:basedOn w:val="1"/>
    <w:next w:val="1"/>
    <w:qFormat/>
    <w:locked/>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9"/>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脚 Char"/>
    <w:link w:val="5"/>
    <w:qFormat/>
    <w:locked/>
    <w:uiPriority w:val="99"/>
    <w:rPr>
      <w:rFonts w:ascii="Times New Roman" w:hAnsi="Times New Roman" w:eastAsia="宋体" w:cs="Times New Roman"/>
      <w:sz w:val="18"/>
      <w:szCs w:val="18"/>
    </w:rPr>
  </w:style>
  <w:style w:type="character" w:customStyle="1" w:styleId="10">
    <w:name w:val="页眉 Char"/>
    <w:link w:val="6"/>
    <w:qFormat/>
    <w:locked/>
    <w:uiPriority w:val="99"/>
    <w:rPr>
      <w:rFonts w:ascii="Times New Roman" w:hAnsi="Times New Roman" w:eastAsia="宋体" w:cs="Times New Roman"/>
      <w:sz w:val="18"/>
      <w:szCs w:val="18"/>
    </w:rPr>
  </w:style>
  <w:style w:type="character" w:customStyle="1" w:styleId="11">
    <w:name w:val="批注框文本 Char"/>
    <w:link w:val="4"/>
    <w:semiHidden/>
    <w:qFormat/>
    <w:uiPriority w:val="99"/>
    <w:rPr>
      <w:rFonts w:ascii="Times New Roman" w:hAnsi="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customStyle="1" w:styleId="14">
    <w:name w:val="列出段落2"/>
    <w:basedOn w:val="1"/>
    <w:qFormat/>
    <w:uiPriority w:val="34"/>
    <w:pPr>
      <w:ind w:firstLine="420" w:firstLineChars="200"/>
    </w:pPr>
    <w:rPr>
      <w:rFonts w:ascii="Calibri" w:hAnsi="Calibri"/>
      <w:szCs w:val="22"/>
    </w:rPr>
  </w:style>
  <w:style w:type="character" w:customStyle="1" w:styleId="15">
    <w:name w:val="info-content-text"/>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1503</Words>
  <Characters>1774</Characters>
  <Lines>2</Lines>
  <Paragraphs>1</Paragraphs>
  <TotalTime>1</TotalTime>
  <ScaleCrop>false</ScaleCrop>
  <LinksUpToDate>false</LinksUpToDate>
  <CharactersWithSpaces>1818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2021-12-14T04:19:18Z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B6F9453A380C464F868AB10DFBD55278</vt:lpwstr>
  </property>
  <property fmtid="{D5CDD505-2E9C-101B-9397-08002B2CF9AE}" pid="3" name="KSOProductBuildVer">
    <vt:lpwstr>2052-11.1.0.11045</vt:lpwstr>
  </property>
</Properties>
</file>