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中昊晨光化工研究院有限公司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10463-2024-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464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