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重庆易升电梯配件有限公司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O：18.02.02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Q：18.02.02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de-DE" w:eastAsia="zh-CN"/>
              </w:rPr>
              <w:t>肖禹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起重设备及搬运设备的制造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b w:val="0"/>
                <w:bCs/>
                <w:sz w:val="21"/>
                <w:szCs w:val="21"/>
                <w:highlight w:val="none"/>
              </w:rPr>
              <w:t>电梯</w:t>
            </w:r>
            <w:r>
              <w:rPr>
                <w:rFonts w:eastAsia="宋体"/>
                <w:b w:val="0"/>
                <w:bCs/>
                <w:sz w:val="21"/>
                <w:szCs w:val="21"/>
                <w:highlight w:val="none"/>
              </w:rPr>
              <w:t>配件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门机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门板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和挂件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加工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</w:rPr>
              <w:t>工艺流程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采购原料——下料——折弯成型——焊接（门板）——喷塑（门板）——组装----检验---包装。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生产过程质量风险：材料型号不符，加工尺寸超差、组装错误、检验漏项等。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控制措施：定点采购材料、按作业指导书生产、按检验规范检验产品。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火灾，触电、灼伤、中暑、机械伤害等采取制定管理方案控制，潜在火灾采取应急预案并演练方式进行控制。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GB/T 7025.1－2008《电梯主参数及轿厢、井道、机房的型式与尺寸 第1部分：Ⅰ、Ⅱ、Ⅲ、Ⅵ类电梯》、GB/T 7025.2－2008《电梯主参数及轿厢、井道、机房的型式与尺寸 第2部分：Ⅳ类电梯》、GB/T 7025.3－1997《电梯主参数及轿厢、井道、机房的型式与尺寸 第3部分：Ⅴ类电梯》等标准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主要质量要求：外形尺寸、性能（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滑板正常运行、门刀张开正常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关键控制点：组装、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焊接、喷塑</w:t>
            </w:r>
            <w:bookmarkStart w:id="9" w:name="_GoBack"/>
            <w:bookmarkEnd w:id="9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肖禹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2021.12.2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240665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2021.12.2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E000D2"/>
    <w:rsid w:val="212D72D6"/>
    <w:rsid w:val="6F6A7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2021-12-02T02:29:34Z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