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宜宾华航机械有限责任公司</w:t>
            </w:r>
            <w:bookmarkEnd w:id="11"/>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陪同人员</w:t>
            </w:r>
          </w:p>
        </w:tc>
        <w:tc>
          <w:tcPr>
            <w:tcW w:w="2071"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lang w:val="en-US" w:eastAsia="zh-CN"/>
              </w:rPr>
              <w:t>刘华权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经营部</w:t>
            </w:r>
            <w:bookmarkStart w:id="20" w:name="_GoBack"/>
            <w:bookmarkEnd w:id="20"/>
          </w:p>
          <w:p>
            <w:pPr>
              <w:jc w:val="right"/>
              <w:rPr>
                <w:rFonts w:ascii="方正仿宋简体" w:eastAsia="方正仿宋简体"/>
              </w:rPr>
            </w:pPr>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预计整改完成日期</w:t>
            </w:r>
          </w:p>
        </w:tc>
        <w:tc>
          <w:tcPr>
            <w:tcW w:w="2071" w:type="dxa"/>
          </w:tcPr>
          <w:p>
            <w:pPr>
              <w:spacing w:before="120" w:line="360" w:lineRule="auto"/>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2021年12月15日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hAnsi="Times New Roman" w:eastAsia="方正仿宋简体" w:cs="Times New Roman"/>
                <w:b/>
              </w:rPr>
            </w:pPr>
            <w:r>
              <w:rPr>
                <w:rFonts w:hint="eastAsia" w:ascii="方正仿宋简体" w:eastAsia="方正仿宋简体"/>
                <w:b/>
              </w:rPr>
              <w:t>不符合事实描述:</w:t>
            </w:r>
          </w:p>
          <w:p>
            <w:pPr>
              <w:spacing w:before="120" w:line="360" w:lineRule="auto"/>
              <w:ind w:firstLine="422" w:firstLineChars="200"/>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现场查看未能提供与四川宜宾普什联动科技有限责任公司签订的机械加工合同评审的相关证据；不符合标准8.2.3.2条款，适用时，组织应保留与下列方面有关的成文信息：a）评审记过。</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8.2.3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9" w:name="审核组成员不含组长"/>
            <w:bookmarkEnd w:id="19"/>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884" w:firstLineChars="546"/>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3B1306"/>
    <w:rsid w:val="74030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2021-12-10T03:01:49Z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2052-11.1.0.11115</vt:lpwstr>
  </property>
</Properties>
</file>