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228"/>
        <w:gridCol w:w="122"/>
        <w:gridCol w:w="578"/>
        <w:gridCol w:w="370"/>
        <w:gridCol w:w="1416"/>
        <w:gridCol w:w="86"/>
        <w:gridCol w:w="1004"/>
        <w:gridCol w:w="315"/>
        <w:gridCol w:w="619"/>
        <w:gridCol w:w="708"/>
        <w:gridCol w:w="310"/>
        <w:gridCol w:w="272"/>
        <w:gridCol w:w="22"/>
        <w:gridCol w:w="680"/>
        <w:gridCol w:w="89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四川省晨田机床制造有限公司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四川省内江市资中县经开区凤凰岭片区凤翔东路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四川省内江市资中县经开区凤凰岭片区凤翔东路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李静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17721961898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5"/>
            <w:vAlign w:val="center"/>
          </w:tcPr>
          <w:p>
            <w:bookmarkStart w:id="6" w:name="最高管理者"/>
            <w:bookmarkEnd w:id="6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陈帮勇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0594-2020-QEO-2021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6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金属切削机床制造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金属切削机床制造所涉及的相关环境管理活动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金属切削机床制造所涉及的相关职业健康安全管理活动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18.04.01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18.04.01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18.04.01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2021年11月29日 下午至2021年11月30日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3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6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3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3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何润彬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ISC-JSZJ-445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ISC-JSZJ-445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ISC-JSZJ-445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四川内江鸿强机床有限公司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Q:18.04.01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E:18.04.01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O:18.04.01</w:t>
            </w:r>
          </w:p>
        </w:tc>
        <w:tc>
          <w:tcPr>
            <w:tcW w:w="13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18608321882</w:t>
            </w:r>
          </w:p>
        </w:tc>
        <w:tc>
          <w:tcPr>
            <w:tcW w:w="13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组内身份</w:t>
            </w:r>
          </w:p>
        </w:tc>
        <w:tc>
          <w:tcPr>
            <w:tcW w:w="1228" w:type="dxa"/>
            <w:vAlign w:val="center"/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现工作单位名称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职务或职称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专业代码</w:t>
            </w:r>
          </w:p>
        </w:tc>
        <w:tc>
          <w:tcPr>
            <w:tcW w:w="1373" w:type="dxa"/>
            <w:gridSpan w:val="5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组内代码</w:t>
            </w:r>
          </w:p>
        </w:tc>
        <w:tc>
          <w:tcPr>
            <w:tcW w:w="1360" w:type="dxa"/>
            <w:vAlign w:val="center"/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专家</w:t>
            </w:r>
          </w:p>
        </w:tc>
        <w:tc>
          <w:tcPr>
            <w:tcW w:w="122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sz w:val="20"/>
                <w:lang w:val="de-DE"/>
              </w:rPr>
              <w:t>何润彬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sz w:val="20"/>
                <w:lang w:val="de-DE"/>
              </w:rPr>
              <w:t>四川内江鸿强机床有限公司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Q:18.04.01</w:t>
            </w:r>
          </w:p>
          <w:p>
            <w:pPr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E:18.04.01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O:18.04.01</w:t>
            </w:r>
          </w:p>
        </w:tc>
        <w:tc>
          <w:tcPr>
            <w:tcW w:w="1373" w:type="dxa"/>
            <w:gridSpan w:val="5"/>
            <w:vAlign w:val="center"/>
          </w:tcPr>
          <w:p/>
        </w:tc>
        <w:tc>
          <w:tcPr>
            <w:tcW w:w="136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18608321882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50165</wp:posOffset>
                  </wp:positionV>
                  <wp:extent cx="664210" cy="337185"/>
                  <wp:effectExtent l="0" t="0" r="8890" b="5715"/>
                  <wp:wrapNone/>
                  <wp:docPr id="1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290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51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5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2021年11月2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2021年11月2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日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2021年11月2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日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481"/>
        <w:gridCol w:w="855"/>
        <w:gridCol w:w="6518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5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87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644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29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81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13:30-14:00</w:t>
            </w:r>
          </w:p>
        </w:tc>
        <w:tc>
          <w:tcPr>
            <w:tcW w:w="7373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87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0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81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14:00-17:30</w:t>
            </w:r>
          </w:p>
        </w:tc>
        <w:tc>
          <w:tcPr>
            <w:tcW w:w="855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6.1应对风险和机遇的措施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6.2目标及其实现的策划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6.3变更的策划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7.1.1资源 总则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9.1.1监测、分析和评价总则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9.3管理评审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10.1改进 总则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10.2不符合和纠正措施;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6.1.1策划总则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7.1资源；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6.2目标及其实现的策划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9.1.1监测、分析和评估总则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9.3管理评审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10.1改进 总则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10.3持续改进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2018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5.4员工参与和协商;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6.1应对风险和机遇的措施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7.1资源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6.2目标及其实现的策划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9.1监视、测量、分析和评价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9.3管理评审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10.1事件、不符合和纠正措施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10.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持续改进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标准/规范/法规的执行情况、上次审核不符合项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的验证(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资材部Q8.4.1和行政部S9.1.1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）、认证证书、标志的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使用情况、投诉或事故、监督抽查情况、体系变动</w:t>
            </w:r>
          </w:p>
        </w:tc>
        <w:tc>
          <w:tcPr>
            <w:tcW w:w="87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81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行政部（含财务部）</w:t>
            </w:r>
          </w:p>
        </w:tc>
        <w:tc>
          <w:tcPr>
            <w:tcW w:w="6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QMS-2015 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5.3岗位/职责 /权限;6.2质量目标及其实现的策划;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9.2内部审核;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10.2不合格和纠正措施;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EMS-2015: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5.3组织的角色、职责和权限;6.1.2环境因素;6.1.3合规义务;6.2目标及其达成的策划;8.1运行策划和控制;8.2应急准备和响应;9.1监视、测量、分析与评估;9.1.2符合性评估;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9.2内部审核;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10.2不符合和纠正措施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10.3持续改进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/EMS运行控制相关财务支出证据。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ISO45001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6.1.2危险源辨识和职业安全风险评价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6.1.3法律法规要求和其他要求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6.2目标及其实现的策划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8.1运行策划和控制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8.2应急准备和响应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9.1监视、测量、分析和评价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9.1.2法律法规要求和其他要求的合规性评价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9.2内部审核;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10.1事件、不符合和纠正措施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10.2不符合和纠正措施/OHSMS运行控制财务支出证据。</w:t>
            </w:r>
          </w:p>
        </w:tc>
        <w:tc>
          <w:tcPr>
            <w:tcW w:w="87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、何润彬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644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81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8:30-12:00（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午休12:00-13:00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5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资材部</w:t>
            </w:r>
          </w:p>
        </w:tc>
        <w:tc>
          <w:tcPr>
            <w:tcW w:w="6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QMS-2015: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5.3岗位/职责 /权限;6.2质量目标及其实现的策划; 8.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4外部提供过程、产品和服务的控制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8.5.3 顾客或外部供方的财产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EMS-2015 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5.3组织的角色、职责和权限、6.1.2环境因素;6.2目标及其达成的策划;7.4沟通;8.1运行策划和控制;8.2应急准备和响应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ISO45001:2018: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5.3组织的角色、职责和权限;6.1.2危险源辨识和职业安全风险评价;6.2目标及其实现的策划;7.4信息和沟通;8.1运行策划和控制;8.2应急准备和响应;</w:t>
            </w:r>
          </w:p>
        </w:tc>
        <w:tc>
          <w:tcPr>
            <w:tcW w:w="87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 xml:space="preserve">QMS-2015: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5.3岗位/职责 /权限;6.2质量目标及其实现的策划;7.1.5监视和测量设备; 8.1运行策划和控制;8.3设计开发控制;8.5.1生产和服务提供的控制; 8.5.2标识和可追溯性;8.5.4防护;8.5.6更改控制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8.6产品和服务放行;8.7不合格输出的控制;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 xml:space="preserve">EMS-2015: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5.3组织的角色、职责和权限、6.1.2环境因素;6.2目标及其达成的策划;7.4沟通;8.1运行策划和控制;8.2应急准备和响应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ISO45001:2018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5.3组织的角色、职责和权限;6.1.2危险源辨识和职业安全风险评价;6.2目标及其实现的策划;7.4信息和沟通;8.1运行策划和控制;8.2应急准备和响应;</w:t>
            </w:r>
          </w:p>
        </w:tc>
        <w:tc>
          <w:tcPr>
            <w:tcW w:w="87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、何润彬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81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</w:t>
            </w:r>
            <w:bookmarkStart w:id="32" w:name="_GoBack"/>
            <w:bookmarkEnd w:id="32"/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：00-16:30</w:t>
            </w:r>
          </w:p>
        </w:tc>
        <w:tc>
          <w:tcPr>
            <w:tcW w:w="855" w:type="dxa"/>
            <w:vMerge w:val="restart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6518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:</w:t>
            </w:r>
          </w:p>
          <w:p>
            <w:pP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6.2质量目标及其实现的策划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8.2产品和服务的要求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8.5.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交付后的活动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9.1.2顾客满意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87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81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18" w:type="dxa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6.2目标及其达成的策划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7.4沟通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2018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5.3组织的角色、职责和权限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6.1.2危险源辨识和职业安全风险评价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6.2目标及其实现的策划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7.4信息和沟通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8.2应急准备和响应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87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81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7373" w:type="dxa"/>
            <w:gridSpan w:val="2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审核组内部沟通,并与受审核方沟通。</w:t>
            </w:r>
          </w:p>
        </w:tc>
        <w:tc>
          <w:tcPr>
            <w:tcW w:w="87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81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17:00-17:30</w:t>
            </w:r>
          </w:p>
        </w:tc>
        <w:tc>
          <w:tcPr>
            <w:tcW w:w="7373" w:type="dxa"/>
            <w:gridSpan w:val="2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87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703D4C"/>
    <w:rsid w:val="088504E8"/>
    <w:rsid w:val="0C2D2D37"/>
    <w:rsid w:val="159740B4"/>
    <w:rsid w:val="15BA669B"/>
    <w:rsid w:val="190D2C12"/>
    <w:rsid w:val="1F484748"/>
    <w:rsid w:val="2E4722CA"/>
    <w:rsid w:val="30B94BF0"/>
    <w:rsid w:val="357A1A00"/>
    <w:rsid w:val="3E7C6068"/>
    <w:rsid w:val="43402A97"/>
    <w:rsid w:val="44A461D6"/>
    <w:rsid w:val="5855063B"/>
    <w:rsid w:val="6D222AAF"/>
    <w:rsid w:val="73AF1443"/>
    <w:rsid w:val="74A85D05"/>
    <w:rsid w:val="791B6D3B"/>
    <w:rsid w:val="7CC540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2021-11-30T07:41:30Z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