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Cs/>
          <w:color w:val="000000"/>
          <w:sz w:val="36"/>
          <w:szCs w:val="36"/>
        </w:rPr>
      </w:pPr>
      <w:r>
        <w:rPr>
          <w:rFonts w:hAnsi="宋体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陪同人员：</w:t>
            </w:r>
            <w:r>
              <w:rPr>
                <w:rFonts w:hint="eastAsia" w:hAnsi="宋体"/>
                <w:sz w:val="24"/>
                <w:szCs w:val="24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sz w:val="24"/>
                <w:szCs w:val="24"/>
              </w:rPr>
              <w:t>审核员：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beforeLines="30" w:afterLines="30" w:line="288" w:lineRule="auto"/>
              <w:ind w:right="105" w:rightChars="50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7.1.5监视测量设备、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beforeLines="30" w:afterLines="30"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 5.3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与部门负责人沟通，了解本部门的职责权限，上</w:t>
            </w:r>
            <w:r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QO:6.2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部门主要目标：</w:t>
            </w:r>
            <w:r>
              <w:rPr>
                <w:rFonts w:hint="eastAsia" w:hAnsi="宋体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1.7.5</w:t>
            </w:r>
            <w:r>
              <w:rPr>
                <w:rFonts w:hint="eastAsia" w:hAnsi="宋体"/>
                <w:sz w:val="24"/>
                <w:szCs w:val="24"/>
              </w:rPr>
              <w:t>日考核情况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1、产品出厂合格率100%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2、计量器具完好率100%                                  100%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</w:t>
            </w:r>
            <w:r>
              <w:rPr>
                <w:rFonts w:hint="eastAsia"/>
                <w:sz w:val="24"/>
                <w:szCs w:val="22"/>
              </w:rPr>
              <w:t>固废分类处置率100%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  <w:szCs w:val="22"/>
              </w:rPr>
              <w:t>火灾/触电事故为0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0次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与方针一致，符合公司总的质量、环境、职业健康安全目标，最后一次统计时间为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1.7.5</w:t>
            </w:r>
            <w:r>
              <w:rPr>
                <w:rFonts w:hAnsiTheme="minorEastAsia" w:eastAsiaTheme="minorEastAsia"/>
                <w:sz w:val="24"/>
                <w:szCs w:val="24"/>
              </w:rPr>
              <w:t>，达成目标。</w:t>
            </w:r>
          </w:p>
        </w:tc>
        <w:tc>
          <w:tcPr>
            <w:tcW w:w="1585" w:type="dxa"/>
          </w:tcPr>
          <w:p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监视测量设备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公司提供《监视和测量设备登记表》，主要有游标卡尺、钢卷尺、万用表、温度测试仪等监视和测量设备，检定/校准周期为1年。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抽校准证书：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YY-007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器具名称：游标卡尺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型号：0-200mm    校准日期：20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YY-003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器具名称：钢卷尺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0-3m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校准日期：20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YY-005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器具名称：万用表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型号：VICTOR88E    校准日期：20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月3日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YY-004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器具名称：温度测试仪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型号：TES-1310    校准日期：20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月3日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校准单位：广东中准检测有限公司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公司监视测量人员设备的保养，按说明书的要求使用人员自行负责。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现场查看监视测量设备使用、调整、搬运和储存均符合要求，查看游标卡尺、万用表；无损坏，外观完好。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目前无计算机软件作为监视测量设备。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目前公司无封存和报废监视测量设备。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质检、验收人员张琳、张少梁，均经过公司培训考核合格具备检测能力，现场审核观察询问，检验员回答与操作皆符合规定要求。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1、进货检验：</w:t>
            </w:r>
            <w:r>
              <w:rPr>
                <w:rFonts w:hAnsiTheme="minorEastAsia" w:eastAsiaTheme="minorEastAsia"/>
                <w:sz w:val="24"/>
                <w:szCs w:val="24"/>
              </w:rPr>
              <w:t>检验依据原材料检验作业指导书，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采购产品到货检验提供了“入库单”、“原材料入库验收记录”，验收入库物资包括：空压机、干燥机、钢板、钢管、压缩机、风机、变频器、滤袋、油漆、木材、及外包的棺罩产品等。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变频器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日入库风机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SDKT3.5#-11-48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10台，对数量、规格型号、外观等项进行了检验，结果合格，检验员张芳。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/>
                <w:sz w:val="24"/>
                <w:szCs w:val="24"/>
              </w:rPr>
              <w:t>*1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0*6000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不锈</w:t>
            </w:r>
            <w:r>
              <w:rPr>
                <w:rFonts w:hint="eastAsia"/>
                <w:sz w:val="24"/>
                <w:szCs w:val="24"/>
              </w:rPr>
              <w:t>钢板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5张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22KW引风机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3KW冷却风机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6套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 w:ascii="宋体" w:hAnsi="宋体"/>
                <w:sz w:val="24"/>
                <w:szCs w:val="24"/>
              </w:rPr>
              <w:t>201不锈钢卷板2.5*603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13.13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 w:ascii="宋体" w:hAnsi="宋体"/>
                <w:sz w:val="24"/>
                <w:szCs w:val="24"/>
              </w:rPr>
              <w:t>J2冷轧不锈钢板材0.799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抽查原材料入库验收记录，202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日入库</w:t>
            </w:r>
            <w:r>
              <w:rPr>
                <w:rFonts w:hint="eastAsia"/>
                <w:sz w:val="24"/>
                <w:szCs w:val="24"/>
              </w:rPr>
              <w:t>高温滤袋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2000条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，对数量、规格型号、外观等项进行了检验，结果合格，检验员张芳。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查外包产品验收：202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.13日购入外包</w:t>
            </w:r>
            <w:r>
              <w:rPr>
                <w:rFonts w:hAnsiTheme="minorEastAsia" w:eastAsiaTheme="minorEastAsia"/>
                <w:sz w:val="24"/>
                <w:szCs w:val="24"/>
              </w:rPr>
              <w:t>335*835*2132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透明棺罩10套，已检验合格并入库，检验项目包括外观、规格型号、数量等，检验员：张芳。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抽查了风机、木材、钢板、油漆等采购产品的第三方测试合格证明，见附件。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2、过程检验：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各工序有巡检记录，内容包括产品名称、工序名称、检查内容、接受标准、实测、判定、检验员等。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至8月10日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冷冻柜的产品巡检记录，对下料、折弯、焊接成型、发泡、装配工序进行了检验，记录完整进行，基本符合要求，检验结果，合格，检验员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至12月1日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瞻仰台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的产品巡检记录，对下料、折弯、焊接成型、装配工序进行了检验，记录完整进行，基本符合要求，检验结果，合格，检验员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年11月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至12月1日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水晶棺的产品巡检记录，对下料、折弯、焊接成型、发泡、装配工序进行了检验，记录完整进行，基本符合要求，检验结果，合格，检验员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-2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日火化机的产品巡检记录，对下料、折弯、焊接成型、装配工序进行了检验，记录完整进行，基本符合要求，检验结果，合格，检验员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遗物焚烧炉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的产品巡检记录，对下料、折弯、焊接成型、装配工序进行了检验，记录完整进行，基本符合要求，检验结果，合格，检验员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抽2021年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10-30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焚烧炉尾气净化处理设备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的产品巡检记录，对下料、雕刻、打磨、喷漆、装配工序进行了检验，记录完整进行，基本符合要求，检验结果，合格，检验员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3、成品（出厂）检验：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提供了成品检验记录，检验项目按图纸和企业标准执行，项目记录完整。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日冷冻柜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L2200*W1720*H1685mm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成品检验记录，对规格尺寸（要求</w:t>
            </w:r>
            <w:r>
              <w:rPr>
                <w:rFonts w:hint="eastAsia"/>
              </w:rPr>
              <w:t>±10mm，实测2205*922*2143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）、电源、储藏温度、外观、制冷能力、负载温度、耗电量、制冷系统的密封性、装配质量等进行了检验，判定结果：合格，检验人员刘传棋。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日瞻仰台</w:t>
            </w:r>
            <w:r>
              <w:rPr>
                <w:rFonts w:hint="eastAsia" w:ascii="宋体" w:hAnsi="宋体" w:cs="宋体"/>
                <w:bCs/>
                <w:sz w:val="24"/>
              </w:rPr>
              <w:t>L</w:t>
            </w:r>
            <w:r>
              <w:rPr>
                <w:rFonts w:hint="eastAsia" w:ascii="宋体" w:hAnsi="宋体" w:cs="宋体"/>
                <w:kern w:val="0"/>
                <w:sz w:val="24"/>
              </w:rPr>
              <w:t>6400*W4500*H1100mm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成品检验记录，对瞻仰棺规格尺寸（要求</w:t>
            </w:r>
            <w:r>
              <w:rPr>
                <w:rFonts w:hint="eastAsia"/>
              </w:rPr>
              <w:t>±5mm，实测6404*4501*1102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）、电源、棺内平均温度、瞻仰棺外观、储藏温度、制冷能力、负载温度、耗电量、制冷系统的密封性、瞻仰棺装配质量、台架规格尺寸、台架外观、台架装配要求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日解剖台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L2600*W850*H800(㎜)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成品检验记录，对规格尺寸、喷淋性能、外观、装配要求等进行了检验，判定结果：合格，检验人员刘传棋。</w:t>
            </w:r>
          </w:p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日水晶棺</w:t>
            </w:r>
            <w:r>
              <w:rPr>
                <w:rFonts w:hint="eastAsia"/>
                <w:vertAlign w:val="baseline"/>
                <w:lang w:val="en-US" w:eastAsia="zh-CN"/>
              </w:rPr>
              <w:t>外部尺寸：2050*700*1050（mm）内空尺寸：1920*580*250（mm）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成品检验记录，对规格尺寸（要求</w:t>
            </w:r>
            <w:r>
              <w:rPr>
                <w:rFonts w:hint="eastAsia"/>
              </w:rPr>
              <w:t>±5mm，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）、电源、棺内平均温度、外观、储藏温度、制冷能力、负载温度、耗电量、制冷系统的密封性、装配质量等进行了检验，判定结果：合格，检验人员刘传棋。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日火化机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毫米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毫米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毫米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成品检验记录，对规格尺寸（实测3503*2254*3148）、外观、运行性能、安全性能等进行了检验，判定结果：合格，检验人员刘传棋。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.2日焚烧炉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4000×3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00×3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0mm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成品检验记录，对规格尺寸（要求</w:t>
            </w:r>
            <w:r>
              <w:rPr>
                <w:rFonts w:hint="eastAsia"/>
              </w:rPr>
              <w:t>±3mm，实测4002*3402*3649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）、外观、装配要求、性能等进行了检验，判定结果：合格，检验人员刘传棋。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日空气净化设备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厂标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成品检验记录，对规格尺寸、外观、装配要求、绝缘性能等进行了检验，判定结果：合格，检验人员刘传棋。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抽查2021.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日骨灰盒</w:t>
            </w:r>
            <w:r>
              <w:rPr>
                <w:rFonts w:hint="eastAsia"/>
                <w:sz w:val="24"/>
                <w:szCs w:val="24"/>
              </w:rPr>
              <w:t>338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238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248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成品检验记录，对规格尺寸（要求</w:t>
            </w:r>
            <w:r>
              <w:rPr>
                <w:rFonts w:hint="eastAsia"/>
              </w:rPr>
              <w:t>±5mm，实测338*</w:t>
            </w:r>
            <w:r>
              <w:rPr>
                <w:rFonts w:hint="eastAsia"/>
                <w:lang w:val="en-US" w:eastAsia="zh-CN"/>
              </w:rPr>
              <w:t>239</w:t>
            </w:r>
            <w:r>
              <w:rPr>
                <w:rFonts w:hint="eastAsia"/>
              </w:rPr>
              <w:t>*249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）、外观、开关灵活性及其他启闭配件等进行了检验，判定结果：合格，检验人员刘传棋。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另外抽查解刨台、空气净化设备、尾气净化设备等其他成品检验记录，填写检验项目及检验记录，判定结果：合格，检验人员刘传棋。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4、客户验收报告：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公司提供了各产品客户验收报告，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日客户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横峰县万寿园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对企业生产的骨灰盒等各项参数验收合格。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.23日客户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横峰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县殡仪馆对企业生产的火化机设备各项参数验收合格。</w:t>
            </w:r>
          </w:p>
          <w:p>
            <w:pPr>
              <w:pStyle w:val="2"/>
            </w:pP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5、第三方测试：公司提供了冷冻柜、瞻仰台、水晶棺、火化机、焚烧炉、尾气除尘净化设备、空气净化设备、骨灰盒等各产品的委托检验报告。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日焚烧炉委托检验报告，结果合格（见附件）。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日火化机委托检验报告，结果合格（见附件）。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.8.16日冷冻柜委托检验报告，结果合格（见附件）。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抽查了202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日尾气净化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处理设备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委托检验报告，结果合格（见附件）。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以上检验报告见附件。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公司产品的监视和测量控制基本符合规定要求。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楷体" w:asciiTheme="minorEastAsia" w:hAnsiTheme="minorEastAsia"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作返工、返修和报废处理，批量的不合格品要求填写“不合格品报告”，记录不合格品名称、规格/型号、数量、不合格事实、评审处置措施，验证结果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交付后未发生不合格的情况，企业不合格品控制基本有效。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O</w:t>
            </w:r>
            <w:r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质检部负责人述：公司制订《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环境因素和危险源识别评价与控制程序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》，质检部根据产品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的</w:t>
            </w:r>
            <w:r>
              <w:rPr>
                <w:rFonts w:hAnsiTheme="minorEastAsia" w:eastAsiaTheme="minorEastAsia"/>
                <w:sz w:val="24"/>
                <w:szCs w:val="24"/>
              </w:rPr>
              <w:t>办公、检验等过程工作特点对涉及的危险源进行了识别和辨识。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本部门识别的各区域危险源有：触电、意外伤害、职业病、火灾、交通事故等。不可接受风险识别有：火灾、触电。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O8.1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日常通过加强及时关电脑、关灯，节约用纸、用电、办公用品节约资源能源。巡视质检部办公室，无发现违章用电现象。无电池、灯管等危险固废存放。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质检部办公室各安全警示标识规范、清楚。现场观察有关检验人员操作，满足操作规程的要求，各劳动防护用品配备齐全。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：游标卡尺、钢卷尺、万用表</w:t>
            </w:r>
            <w:r>
              <w:rPr>
                <w:rFonts w:hAnsiTheme="minorEastAsia" w:eastAsiaTheme="minorEastAsia"/>
                <w:sz w:val="24"/>
                <w:szCs w:val="24"/>
              </w:rPr>
              <w:t>等，提供了相关设备的校准报告，没有用到化学品。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参加了生产部组织的应急培训和演练，详见审核行政部该条款记录。</w:t>
            </w:r>
          </w:p>
        </w:tc>
        <w:tc>
          <w:tcPr>
            <w:tcW w:w="1585" w:type="dxa"/>
          </w:tcPr>
          <w:p>
            <w:r>
              <w:rPr>
                <w:sz w:val="24"/>
                <w:szCs w:val="24"/>
              </w:rPr>
              <w:t>符合</w:t>
            </w:r>
          </w:p>
        </w:tc>
      </w:tr>
    </w:tbl>
    <w:p/>
    <w:p/>
    <w:p>
      <w:pPr>
        <w:pStyle w:val="8"/>
      </w:pPr>
      <w:r>
        <w:rPr>
          <w:rFonts w:hAnsi="宋体"/>
        </w:rPr>
        <w:t>说明：不符合标注</w:t>
      </w:r>
      <w:r>
        <w:t>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27F29"/>
    <w:rsid w:val="000330D6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230385"/>
    <w:rsid w:val="002307D1"/>
    <w:rsid w:val="002515E2"/>
    <w:rsid w:val="002950BC"/>
    <w:rsid w:val="002C4643"/>
    <w:rsid w:val="003071E0"/>
    <w:rsid w:val="00312090"/>
    <w:rsid w:val="00314D7A"/>
    <w:rsid w:val="00335DFC"/>
    <w:rsid w:val="003579CA"/>
    <w:rsid w:val="00360AFA"/>
    <w:rsid w:val="00364C76"/>
    <w:rsid w:val="00423BD9"/>
    <w:rsid w:val="00447198"/>
    <w:rsid w:val="00482DB3"/>
    <w:rsid w:val="004A7F5E"/>
    <w:rsid w:val="005045A4"/>
    <w:rsid w:val="00507D20"/>
    <w:rsid w:val="00526050"/>
    <w:rsid w:val="00527EEE"/>
    <w:rsid w:val="00533AA7"/>
    <w:rsid w:val="00570908"/>
    <w:rsid w:val="005B5425"/>
    <w:rsid w:val="00694F5D"/>
    <w:rsid w:val="006A188E"/>
    <w:rsid w:val="006C7AFF"/>
    <w:rsid w:val="006F04E8"/>
    <w:rsid w:val="006F42F9"/>
    <w:rsid w:val="006F4FE8"/>
    <w:rsid w:val="00764E8F"/>
    <w:rsid w:val="00770FBA"/>
    <w:rsid w:val="00776EE4"/>
    <w:rsid w:val="007968EF"/>
    <w:rsid w:val="007C4A47"/>
    <w:rsid w:val="00887DA2"/>
    <w:rsid w:val="008E7C8E"/>
    <w:rsid w:val="0091336A"/>
    <w:rsid w:val="009406AB"/>
    <w:rsid w:val="0099497C"/>
    <w:rsid w:val="009B3064"/>
    <w:rsid w:val="009C31B8"/>
    <w:rsid w:val="009D10D6"/>
    <w:rsid w:val="00A47DCD"/>
    <w:rsid w:val="00A74C47"/>
    <w:rsid w:val="00B22ECB"/>
    <w:rsid w:val="00B63EE4"/>
    <w:rsid w:val="00B70FA1"/>
    <w:rsid w:val="00BA6C1D"/>
    <w:rsid w:val="00C035DF"/>
    <w:rsid w:val="00C40058"/>
    <w:rsid w:val="00C534F4"/>
    <w:rsid w:val="00C741D5"/>
    <w:rsid w:val="00C759B8"/>
    <w:rsid w:val="00C81A09"/>
    <w:rsid w:val="00CB3DED"/>
    <w:rsid w:val="00CE0BA4"/>
    <w:rsid w:val="00CF6EC4"/>
    <w:rsid w:val="00D04BE0"/>
    <w:rsid w:val="00D063E4"/>
    <w:rsid w:val="00D13B90"/>
    <w:rsid w:val="00D733A8"/>
    <w:rsid w:val="00D836F0"/>
    <w:rsid w:val="00D9009B"/>
    <w:rsid w:val="00D97B6A"/>
    <w:rsid w:val="00DC08AC"/>
    <w:rsid w:val="00DD37FA"/>
    <w:rsid w:val="00DD3929"/>
    <w:rsid w:val="00DD3A40"/>
    <w:rsid w:val="00E162D2"/>
    <w:rsid w:val="00E27884"/>
    <w:rsid w:val="00E37CA0"/>
    <w:rsid w:val="00E456E8"/>
    <w:rsid w:val="00E80FE5"/>
    <w:rsid w:val="00EB26E3"/>
    <w:rsid w:val="00EF0AA6"/>
    <w:rsid w:val="00EF7122"/>
    <w:rsid w:val="00F07940"/>
    <w:rsid w:val="00F50D57"/>
    <w:rsid w:val="00FB23E0"/>
    <w:rsid w:val="00FC139D"/>
    <w:rsid w:val="30343A46"/>
    <w:rsid w:val="49A2733C"/>
    <w:rsid w:val="55315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1"/>
    <w:basedOn w:val="4"/>
    <w:next w:val="5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770</Words>
  <Characters>4392</Characters>
  <Lines>36</Lines>
  <Paragraphs>10</Paragraphs>
  <TotalTime>8</TotalTime>
  <ScaleCrop>false</ScaleCrop>
  <LinksUpToDate>false</LinksUpToDate>
  <CharactersWithSpaces>5152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2021-12-03T09:06:12Z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017F853BF03F42CA83AEA17C2DAFE3C9</vt:lpwstr>
  </property>
</Properties>
</file>