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隶书"/>
          <w:bCs/>
          <w:color w:val="000000"/>
          <w:sz w:val="36"/>
          <w:szCs w:val="36"/>
        </w:rPr>
      </w:pPr>
      <w:r>
        <w:rPr>
          <w:rFonts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60" w:type="dxa"/>
            <w:vMerge w:val="restart"/>
            <w:vAlign w:val="center"/>
          </w:tcPr>
          <w:p>
            <w:pPr>
              <w:rPr>
                <w:sz w:val="24"/>
                <w:szCs w:val="24"/>
              </w:rPr>
            </w:pPr>
            <w:r>
              <w:rPr>
                <w:sz w:val="24"/>
                <w:szCs w:val="24"/>
              </w:rPr>
              <w:t>涉及</w:t>
            </w:r>
          </w:p>
          <w:p>
            <w:r>
              <w:rPr>
                <w:sz w:val="24"/>
                <w:szCs w:val="24"/>
              </w:rPr>
              <w:t>条款</w:t>
            </w:r>
          </w:p>
        </w:tc>
        <w:tc>
          <w:tcPr>
            <w:tcW w:w="10004" w:type="dxa"/>
            <w:vAlign w:val="center"/>
          </w:tcPr>
          <w:p>
            <w:pPr>
              <w:rPr>
                <w:sz w:val="24"/>
                <w:szCs w:val="24"/>
              </w:rPr>
            </w:pPr>
            <w:r>
              <w:rPr>
                <w:sz w:val="24"/>
                <w:szCs w:val="24"/>
              </w:rPr>
              <w:t>受审核部门：管理层         主管领导：邓兵、邓红     陪同人员：</w:t>
            </w:r>
            <w:r>
              <w:rPr>
                <w:rFonts w:hint="eastAsia"/>
                <w:sz w:val="24"/>
                <w:szCs w:val="24"/>
              </w:rPr>
              <w:t>刘传祺</w:t>
            </w:r>
          </w:p>
        </w:tc>
        <w:tc>
          <w:tcPr>
            <w:tcW w:w="1585"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sz w:val="24"/>
                <w:szCs w:val="24"/>
              </w:rPr>
              <w:t>审核员：</w:t>
            </w:r>
            <w:r>
              <w:rPr>
                <w:rFonts w:hint="eastAsia"/>
                <w:sz w:val="24"/>
                <w:szCs w:val="24"/>
                <w:lang w:val="en-US" w:eastAsia="zh-CN"/>
              </w:rPr>
              <w:t>伍光华</w:t>
            </w:r>
            <w:r>
              <w:rPr>
                <w:sz w:val="24"/>
                <w:szCs w:val="24"/>
              </w:rPr>
              <w:t xml:space="preserve">                   审核时间：20</w:t>
            </w:r>
            <w:r>
              <w:rPr>
                <w:rFonts w:hint="eastAsia"/>
                <w:sz w:val="24"/>
                <w:szCs w:val="24"/>
              </w:rPr>
              <w:t>21</w:t>
            </w:r>
            <w:r>
              <w:rPr>
                <w:sz w:val="24"/>
                <w:szCs w:val="24"/>
              </w:rPr>
              <w:t>.</w:t>
            </w:r>
            <w:r>
              <w:rPr>
                <w:rFonts w:hint="eastAsia"/>
                <w:sz w:val="24"/>
                <w:szCs w:val="24"/>
                <w:lang w:val="en-US" w:eastAsia="zh-CN"/>
              </w:rPr>
              <w:t>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sz w:val="24"/>
                <w:szCs w:val="24"/>
              </w:rPr>
              <w:t xml:space="preserve">审核条款： </w:t>
            </w:r>
          </w:p>
          <w:p>
            <w:pPr>
              <w:adjustRightInd w:val="0"/>
              <w:textAlignment w:val="baseline"/>
              <w:rPr>
                <w:rFonts w:ascii="宋体" w:hAnsi="宋体"/>
                <w:kern w:val="0"/>
                <w:sz w:val="21"/>
                <w:szCs w:val="21"/>
              </w:rPr>
            </w:pPr>
            <w:r>
              <w:rPr>
                <w:rFonts w:hint="eastAsia"/>
                <w:sz w:val="24"/>
                <w:szCs w:val="24"/>
              </w:rPr>
              <w:t>E:4.1理解组</w:t>
            </w: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确定管理体系的范围、4.4环境管理体系及其过程、5.1领导作用和承诺、5.2环境方针、5.3组织的岗位、职责和权限、6.1应对风险和机遇的措施、6.2环境目标及其实现的策划、9.3管理评审、10.1改进、10.3持续改进，</w:t>
            </w:r>
          </w:p>
          <w:p>
            <w:pPr>
              <w:rPr>
                <w:sz w:val="24"/>
                <w:szCs w:val="24"/>
              </w:rPr>
            </w:pPr>
            <w:r>
              <w:rPr>
                <w:rFonts w:hint="eastAsia" w:ascii="宋体" w:hAnsi="宋体" w:cs="Arial"/>
                <w:spacing w:val="-6"/>
                <w:sz w:val="18"/>
                <w:szCs w:val="18"/>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szCs w:val="24"/>
              </w:rPr>
            </w:pPr>
            <w:r>
              <w:rPr>
                <w:rFonts w:hAnsi="宋体"/>
                <w:szCs w:val="24"/>
              </w:rPr>
              <w:t>企业基本信息</w:t>
            </w:r>
          </w:p>
        </w:tc>
        <w:tc>
          <w:tcPr>
            <w:tcW w:w="960" w:type="dxa"/>
            <w:vAlign w:val="center"/>
          </w:tcPr>
          <w:p>
            <w:pPr>
              <w:jc w:val="center"/>
              <w:rPr>
                <w:szCs w:val="24"/>
              </w:rPr>
            </w:pPr>
          </w:p>
        </w:tc>
        <w:tc>
          <w:tcPr>
            <w:tcW w:w="10004" w:type="dxa"/>
            <w:vAlign w:val="center"/>
          </w:tcPr>
          <w:p>
            <w:pPr>
              <w:spacing w:beforeLines="50" w:afterLines="50"/>
              <w:ind w:firstLine="420" w:firstLineChars="200"/>
              <w:jc w:val="left"/>
              <w:rPr>
                <w:szCs w:val="24"/>
              </w:rPr>
            </w:pPr>
            <w:r>
              <w:rPr>
                <w:rFonts w:hAnsi="宋体"/>
                <w:szCs w:val="24"/>
              </w:rPr>
              <w:t>面谈人员：总经理：邓兵、管代</w:t>
            </w:r>
            <w:r>
              <w:rPr>
                <w:rFonts w:hint="eastAsia" w:hAnsi="宋体"/>
                <w:szCs w:val="24"/>
              </w:rPr>
              <w:t>：</w:t>
            </w:r>
            <w:r>
              <w:rPr>
                <w:rFonts w:hAnsi="宋体"/>
                <w:szCs w:val="24"/>
              </w:rPr>
              <w:t>邓红</w:t>
            </w:r>
          </w:p>
          <w:p>
            <w:pPr>
              <w:spacing w:beforeLines="50" w:afterLines="50"/>
              <w:ind w:firstLine="420" w:firstLineChars="200"/>
              <w:jc w:val="left"/>
              <w:rPr>
                <w:szCs w:val="24"/>
              </w:rPr>
            </w:pPr>
            <w:r>
              <w:rPr>
                <w:rFonts w:hAnsi="宋体"/>
                <w:szCs w:val="24"/>
              </w:rPr>
              <w:t>江西元一制冷设备集团有限公司，成立于</w:t>
            </w:r>
            <w:r>
              <w:rPr>
                <w:szCs w:val="24"/>
              </w:rPr>
              <w:t>2012</w:t>
            </w:r>
            <w:r>
              <w:rPr>
                <w:rFonts w:hAnsi="宋体"/>
                <w:szCs w:val="24"/>
              </w:rPr>
              <w:t>年，法人代表彭欢，</w:t>
            </w:r>
            <w:r>
              <w:rPr>
                <w:rFonts w:hint="eastAsia" w:hAnsi="宋体"/>
                <w:szCs w:val="24"/>
              </w:rPr>
              <w:t>注册资金6666万元，</w:t>
            </w:r>
            <w:r>
              <w:rPr>
                <w:rFonts w:hAnsi="宋体"/>
                <w:szCs w:val="24"/>
              </w:rPr>
              <w:t>注册及经营地址：江西省樟树市张家山工业园区</w:t>
            </w:r>
            <w:r>
              <w:rPr>
                <w:szCs w:val="24"/>
              </w:rPr>
              <w:t>1</w:t>
            </w:r>
            <w:r>
              <w:rPr>
                <w:rFonts w:hAnsi="宋体"/>
                <w:szCs w:val="24"/>
              </w:rPr>
              <w:t>号路；</w:t>
            </w:r>
            <w:r>
              <w:rPr>
                <w:rFonts w:hint="eastAsia" w:hAnsi="宋体"/>
                <w:szCs w:val="24"/>
              </w:rPr>
              <w:t>办公地址：江西省樟树市二环路东方明珠2栋4楼。董事长：彭欢，总经理：邓兵，管代：邓红。</w:t>
            </w:r>
          </w:p>
          <w:p>
            <w:pPr>
              <w:spacing w:beforeLines="50" w:afterLines="50"/>
              <w:ind w:firstLine="420" w:firstLineChars="200"/>
              <w:jc w:val="left"/>
              <w:rPr>
                <w:szCs w:val="24"/>
              </w:rPr>
            </w:pPr>
            <w:r>
              <w:rPr>
                <w:rFonts w:hAnsi="宋体"/>
                <w:szCs w:val="24"/>
              </w:rPr>
              <w:t>经营范围：</w:t>
            </w:r>
            <w:r>
              <w:rPr>
                <w:rFonts w:hint="eastAsia" w:hAnsi="宋体"/>
                <w:szCs w:val="24"/>
              </w:rPr>
              <w:t>智能低温杀虫灭菌冷冻库、密集架、书架、电子显示屏、解剖台、一类医疗器械、火化机、焚烧炉、尾气除尘净化设备、瞻仰台、冷冻柜、水晶棺、骨灰盒、骨灰存放架、智慧殡葬服务信息系统、智慧殡葬物联系统、智慧殡葬存放祭拜信息系统、智能化殡葬管理软件系、消毒防腐设备、医疗废水处理设备、污水处理设备、监控摄录像及软件系统、殡葬系列设备、制冷设备研发、生产、销售；空气净化设备制造、施工及销售；压缩机、铜管和计量压力表销售、安装及计量服务；机电设备制造、销售及安装；室内装饰工程设计、施工；殡仪车辆改装、销售；警用器材、实验室设备生产、销售；万佛墙、牌位架、智能型骨灰存放架及成套行业管理软件、计算机软硬件研究、开发、生产、销售、技术服务、施工安装、维修、售后服务；进出口经营权。（依法须经批准的项目，经相关部门批准后方可开展经营活动）</w:t>
            </w:r>
            <w:r>
              <w:rPr>
                <w:rFonts w:hAnsi="宋体"/>
                <w:szCs w:val="24"/>
              </w:rPr>
              <w:t>。</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jc w:val="center"/>
              <w:rPr>
                <w:szCs w:val="24"/>
              </w:rPr>
            </w:pPr>
            <w:r>
              <w:rPr>
                <w:rFonts w:hAnsi="宋体"/>
                <w:szCs w:val="24"/>
              </w:rPr>
              <w:t>领导作用和承诺、组织的岗位职责和权限</w:t>
            </w:r>
          </w:p>
        </w:tc>
        <w:tc>
          <w:tcPr>
            <w:tcW w:w="960" w:type="dxa"/>
            <w:vAlign w:val="center"/>
          </w:tcPr>
          <w:p>
            <w:pPr>
              <w:jc w:val="center"/>
              <w:rPr>
                <w:sz w:val="24"/>
                <w:szCs w:val="24"/>
              </w:rPr>
            </w:pPr>
            <w:r>
              <w:rPr>
                <w:sz w:val="24"/>
                <w:szCs w:val="24"/>
              </w:rPr>
              <w:t>E5.1、5.3</w:t>
            </w:r>
          </w:p>
        </w:tc>
        <w:tc>
          <w:tcPr>
            <w:tcW w:w="10004" w:type="dxa"/>
            <w:vAlign w:val="center"/>
          </w:tcPr>
          <w:p>
            <w:pPr>
              <w:spacing w:beforeLines="50" w:afterLines="50"/>
              <w:ind w:firstLine="420" w:firstLineChars="200"/>
              <w:jc w:val="left"/>
              <w:rPr>
                <w:szCs w:val="24"/>
              </w:rPr>
            </w:pPr>
            <w:r>
              <w:rPr>
                <w:rFonts w:hint="eastAsia"/>
                <w:szCs w:val="24"/>
              </w:rPr>
              <w:t>据总经理邓兵介绍，公司管理体系按新版文件运行</w:t>
            </w:r>
            <w:r>
              <w:rPr>
                <w:rFonts w:hint="eastAsia"/>
                <w:szCs w:val="24"/>
                <w:lang w:val="en-US" w:eastAsia="zh-CN"/>
              </w:rPr>
              <w:t>1年多</w:t>
            </w:r>
            <w:r>
              <w:rPr>
                <w:rFonts w:hint="eastAsia"/>
                <w:szCs w:val="24"/>
              </w:rPr>
              <w:t>。对部门及其职责进行了规定，设有行政部、生产部、销售部、采购部、质检部，编制了岗位职责汇编，以文件上发的形式沟通各部门的职责及各部门之间工作的联系。</w:t>
            </w:r>
          </w:p>
          <w:p>
            <w:pPr>
              <w:spacing w:beforeLines="50" w:afterLines="50"/>
              <w:ind w:firstLine="420" w:firstLineChars="200"/>
              <w:jc w:val="left"/>
              <w:rPr>
                <w:szCs w:val="24"/>
              </w:rPr>
            </w:pPr>
            <w:r>
              <w:rPr>
                <w:rFonts w:hint="eastAsia"/>
                <w:szCs w:val="24"/>
              </w:rPr>
              <w:t>总经理邓兵，主要负责公司全面工作，根据体系的要求，负责组织制定方针、目标，企业资源提供、管理评审等工作；</w:t>
            </w:r>
          </w:p>
          <w:p>
            <w:pPr>
              <w:spacing w:beforeLines="50" w:afterLines="50"/>
              <w:ind w:firstLine="420" w:firstLineChars="200"/>
              <w:jc w:val="left"/>
              <w:rPr>
                <w:szCs w:val="24"/>
              </w:rPr>
            </w:pPr>
            <w:r>
              <w:rPr>
                <w:rFonts w:hint="eastAsia"/>
                <w:szCs w:val="24"/>
              </w:rPr>
              <w:t>管代邓红，主要负责公司行政及体系工作。</w:t>
            </w:r>
          </w:p>
          <w:p>
            <w:pPr>
              <w:spacing w:beforeLines="50" w:afterLines="50"/>
              <w:ind w:firstLine="420" w:firstLineChars="200"/>
              <w:jc w:val="left"/>
              <w:rPr>
                <w:szCs w:val="24"/>
              </w:rPr>
            </w:pPr>
            <w:r>
              <w:rPr>
                <w:rFonts w:hint="eastAsia"/>
                <w:szCs w:val="24"/>
              </w:rPr>
              <w:t>1、确保质量、职业健康安全管理体系的过程得到建立和保持。</w:t>
            </w:r>
          </w:p>
          <w:p>
            <w:pPr>
              <w:spacing w:beforeLines="50" w:afterLines="50"/>
              <w:ind w:firstLine="420" w:firstLineChars="200"/>
              <w:jc w:val="left"/>
              <w:rPr>
                <w:szCs w:val="24"/>
              </w:rPr>
            </w:pPr>
            <w:r>
              <w:rPr>
                <w:rFonts w:hint="eastAsia"/>
                <w:szCs w:val="24"/>
              </w:rPr>
              <w:t>2、向最高管理者报告质量、职业健康安全管理体系的业绩和改进需求。</w:t>
            </w:r>
          </w:p>
          <w:p>
            <w:pPr>
              <w:spacing w:beforeLines="50" w:afterLines="50"/>
              <w:ind w:firstLine="420" w:firstLineChars="200"/>
              <w:jc w:val="left"/>
              <w:rPr>
                <w:szCs w:val="24"/>
              </w:rPr>
            </w:pPr>
            <w:r>
              <w:rPr>
                <w:rFonts w:hint="eastAsia"/>
                <w:szCs w:val="24"/>
              </w:rPr>
              <w:t>3、在组织内促进满足顾客要求，实施污染预防，保障员工健康，实现安全作业意识的形成和保持。</w:t>
            </w:r>
          </w:p>
          <w:p>
            <w:pPr>
              <w:spacing w:beforeLines="50" w:afterLines="50"/>
              <w:ind w:firstLine="420" w:firstLineChars="200"/>
              <w:jc w:val="left"/>
              <w:rPr>
                <w:szCs w:val="24"/>
              </w:rPr>
            </w:pPr>
            <w:r>
              <w:rPr>
                <w:rFonts w:hint="eastAsia"/>
                <w:szCs w:val="24"/>
              </w:rPr>
              <w:t>4、负责质量、职业健康安全管理体系有关对外联络事宜。</w:t>
            </w:r>
          </w:p>
          <w:p>
            <w:pPr>
              <w:spacing w:beforeLines="50" w:afterLines="50"/>
              <w:ind w:firstLine="420" w:firstLineChars="200"/>
              <w:jc w:val="left"/>
              <w:rPr>
                <w:szCs w:val="24"/>
              </w:rPr>
            </w:pPr>
            <w:r>
              <w:rPr>
                <w:rFonts w:hint="eastAsia"/>
                <w:szCs w:val="24"/>
              </w:rPr>
              <w:t>总经理主持建立了质量、职业健康安全管理体系，对管理体系的运行和保持进行了适当的授权，提供了必需的资源，能履行其管理承诺。</w:t>
            </w:r>
          </w:p>
          <w:p>
            <w:pPr>
              <w:spacing w:beforeLines="50" w:afterLines="50"/>
              <w:ind w:firstLine="420" w:firstLineChars="200"/>
              <w:jc w:val="left"/>
              <w:rPr>
                <w:szCs w:val="24"/>
              </w:rPr>
            </w:pPr>
            <w:r>
              <w:rPr>
                <w:rFonts w:hint="eastAsia"/>
                <w:szCs w:val="24"/>
              </w:rPr>
              <w:t>经交流总经理和管代熟悉管理体系的基本运行情况，比较重视体系建设。</w:t>
            </w:r>
          </w:p>
          <w:p>
            <w:pPr>
              <w:spacing w:beforeLines="50" w:afterLines="50"/>
              <w:ind w:firstLine="420" w:firstLineChars="200"/>
              <w:jc w:val="left"/>
              <w:rPr>
                <w:szCs w:val="24"/>
              </w:rPr>
            </w:pPr>
            <w:r>
              <w:rPr>
                <w:rFonts w:hint="eastAsia"/>
                <w:szCs w:val="24"/>
              </w:rPr>
              <w:t>组织从2020年5月开始运行新版管理体系，组织了内审员培训，识别了生产的过程及其相互关系，企业提供编号：</w:t>
            </w:r>
            <w:r>
              <w:rPr>
                <w:szCs w:val="24"/>
              </w:rPr>
              <w:t>YYJT-SC-2020</w:t>
            </w:r>
            <w:r>
              <w:rPr>
                <w:rFonts w:hint="eastAsia"/>
                <w:szCs w:val="24"/>
              </w:rPr>
              <w:t xml:space="preserve"> 《管理手册》，依据ISO9001：2015、ISO14001：2015、ISO45001：2018标准。2020.5.20发布，2020.5.20实施；任命管代：邓红；总经理邓兵批准。</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jc w:val="center"/>
              <w:rPr>
                <w:szCs w:val="24"/>
              </w:rPr>
            </w:pPr>
            <w:r>
              <w:rPr>
                <w:rFonts w:hint="eastAsia"/>
                <w:szCs w:val="24"/>
              </w:rPr>
              <w:t>理解组织及其环境</w:t>
            </w:r>
          </w:p>
        </w:tc>
        <w:tc>
          <w:tcPr>
            <w:tcW w:w="960" w:type="dxa"/>
            <w:vAlign w:val="center"/>
          </w:tcPr>
          <w:p>
            <w:pPr>
              <w:jc w:val="center"/>
              <w:rPr>
                <w:sz w:val="24"/>
                <w:szCs w:val="24"/>
              </w:rPr>
            </w:pPr>
            <w:r>
              <w:rPr>
                <w:sz w:val="24"/>
                <w:szCs w:val="24"/>
              </w:rPr>
              <w:t>E4.1</w:t>
            </w:r>
          </w:p>
        </w:tc>
        <w:tc>
          <w:tcPr>
            <w:tcW w:w="10004" w:type="dxa"/>
            <w:vAlign w:val="center"/>
          </w:tcPr>
          <w:p>
            <w:pPr>
              <w:spacing w:beforeLines="30" w:afterLines="30" w:line="288" w:lineRule="auto"/>
              <w:ind w:firstLine="420" w:firstLineChars="200"/>
              <w:rPr>
                <w:rFonts w:hAnsiTheme="minorEastAsia" w:eastAsiaTheme="minorEastAsia"/>
                <w:color w:val="000000"/>
                <w:sz w:val="21"/>
                <w:szCs w:val="21"/>
              </w:rPr>
            </w:pPr>
            <w:r>
              <w:rPr>
                <w:rFonts w:hint="eastAsia" w:hAnsiTheme="minorEastAsia" w:eastAsiaTheme="minorEastAsia"/>
                <w:color w:val="000000"/>
                <w:sz w:val="21"/>
                <w:szCs w:val="21"/>
              </w:rPr>
              <w:t>江西元一制冷设备集团有限公司成立于2012年10月16日,注册资金6666万元，注册地址于江西省樟树市张家山工业园区1号路，经营地址：江西省樟树市二环路东方明珠2栋4楼；主要从事冷冻柜、瞻仰台的设计生产；解剖台、水晶棺、火化机、焚烧炉、尾气除尘净化设备、空气净化设备、骨灰盒的生产的民营企业，企业类型为有限责任公司，法定代表人彭欢。公司大力推广与国际环保惯例接轨的ISO管理体系，进一步提升公司的产品质量、服务水平、社会责任，同时为进一步提升公司的品牌形象奠定基础。</w:t>
            </w:r>
          </w:p>
          <w:p>
            <w:pPr>
              <w:spacing w:beforeLines="30" w:afterLines="30" w:line="288" w:lineRule="auto"/>
              <w:ind w:firstLine="420" w:firstLineChars="200"/>
              <w:rPr>
                <w:rFonts w:hAnsiTheme="minorEastAsia" w:eastAsiaTheme="minorEastAsia"/>
                <w:color w:val="000000"/>
                <w:sz w:val="21"/>
                <w:szCs w:val="21"/>
              </w:rPr>
            </w:pPr>
            <w:r>
              <w:rPr>
                <w:rFonts w:hint="eastAsia" w:hAnsiTheme="minorEastAsia" w:eastAsiaTheme="minorEastAsia"/>
                <w:color w:val="000000"/>
                <w:sz w:val="21"/>
                <w:szCs w:val="21"/>
              </w:rPr>
              <w:t>公司现有员工45人，下设行政部、销售部、质检部、采购部、生产部，拥有完整的生产、检测、营销、售后网络。</w:t>
            </w:r>
          </w:p>
          <w:p>
            <w:pPr>
              <w:spacing w:beforeLines="30" w:afterLines="30" w:line="288" w:lineRule="auto"/>
              <w:ind w:firstLine="420" w:firstLineChars="200"/>
              <w:rPr>
                <w:rFonts w:hAnsiTheme="minorEastAsia" w:eastAsiaTheme="minorEastAsia"/>
                <w:color w:val="000000"/>
                <w:sz w:val="21"/>
                <w:szCs w:val="21"/>
              </w:rPr>
            </w:pPr>
            <w:r>
              <w:rPr>
                <w:rFonts w:hint="eastAsia" w:hAnsiTheme="minorEastAsia" w:eastAsiaTheme="minor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beforeLines="30" w:afterLines="30" w:line="288" w:lineRule="auto"/>
              <w:ind w:firstLine="420" w:firstLineChars="200"/>
              <w:rPr>
                <w:rFonts w:eastAsiaTheme="minorEastAsia"/>
                <w:sz w:val="24"/>
                <w:szCs w:val="24"/>
              </w:rPr>
            </w:pPr>
            <w:r>
              <w:rPr>
                <w:rFonts w:hint="eastAsia" w:hAnsiTheme="minorEastAsia" w:eastAsiaTheme="minor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vAlign w:val="center"/>
          </w:tcPr>
          <w:p>
            <w:pPr>
              <w:jc w:val="center"/>
              <w:rPr>
                <w:szCs w:val="24"/>
              </w:rPr>
            </w:pPr>
            <w:r>
              <w:rPr>
                <w:rFonts w:hint="eastAsia"/>
                <w:szCs w:val="24"/>
              </w:rPr>
              <w:t>理解相关方的需求和期望</w:t>
            </w:r>
          </w:p>
        </w:tc>
        <w:tc>
          <w:tcPr>
            <w:tcW w:w="960" w:type="dxa"/>
            <w:vAlign w:val="center"/>
          </w:tcPr>
          <w:p>
            <w:pPr>
              <w:jc w:val="center"/>
              <w:rPr>
                <w:sz w:val="24"/>
                <w:szCs w:val="24"/>
              </w:rPr>
            </w:pPr>
            <w:r>
              <w:rPr>
                <w:sz w:val="24"/>
                <w:szCs w:val="24"/>
              </w:rPr>
              <w:t>E</w:t>
            </w:r>
            <w:r>
              <w:rPr>
                <w:rFonts w:hint="eastAsia"/>
                <w:sz w:val="24"/>
                <w:szCs w:val="24"/>
              </w:rPr>
              <w:t>4.2</w:t>
            </w:r>
          </w:p>
        </w:tc>
        <w:tc>
          <w:tcPr>
            <w:tcW w:w="10004" w:type="dxa"/>
            <w:vAlign w:val="center"/>
          </w:tcPr>
          <w:p>
            <w:pPr>
              <w:spacing w:beforeLines="50" w:afterLines="50"/>
              <w:ind w:firstLine="420" w:firstLineChars="200"/>
              <w:jc w:val="left"/>
              <w:rPr>
                <w:rFonts w:ascii="宋体" w:hAnsi="宋体"/>
                <w:color w:val="000000"/>
                <w:szCs w:val="24"/>
              </w:rPr>
            </w:pPr>
            <w:r>
              <w:rPr>
                <w:rFonts w:hint="eastAsia"/>
                <w:szCs w:val="24"/>
              </w:rPr>
              <w:t>由行政部负责组织对相关方的</w:t>
            </w:r>
            <w:r>
              <w:rPr>
                <w:rFonts w:hint="eastAsia" w:ascii="宋体" w:hAnsi="宋体"/>
                <w:color w:val="000000"/>
                <w:szCs w:val="24"/>
              </w:rPr>
              <w:t>评估，提供了《相关方期望或要求识别表》，相关方包括顾客、股东、员工、供应商、竞争对手、社会团体等。相关方期望和要求为价格、安全性、合同协议、行业规范标准等；</w:t>
            </w:r>
          </w:p>
          <w:p>
            <w:pPr>
              <w:spacing w:beforeLines="50" w:afterLines="50"/>
              <w:ind w:firstLine="420" w:firstLineChars="200"/>
              <w:jc w:val="left"/>
              <w:rPr>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160" w:type="dxa"/>
            <w:vAlign w:val="center"/>
          </w:tcPr>
          <w:p>
            <w:pPr>
              <w:jc w:val="center"/>
              <w:rPr>
                <w:szCs w:val="24"/>
              </w:rPr>
            </w:pPr>
            <w:r>
              <w:rPr>
                <w:rFonts w:hint="eastAsia"/>
                <w:szCs w:val="24"/>
              </w:rPr>
              <w:t>管理体系的范围</w:t>
            </w:r>
          </w:p>
        </w:tc>
        <w:tc>
          <w:tcPr>
            <w:tcW w:w="960" w:type="dxa"/>
            <w:vAlign w:val="center"/>
          </w:tcPr>
          <w:p>
            <w:pPr>
              <w:jc w:val="center"/>
              <w:rPr>
                <w:sz w:val="24"/>
                <w:szCs w:val="24"/>
              </w:rPr>
            </w:pPr>
            <w:r>
              <w:rPr>
                <w:sz w:val="24"/>
                <w:szCs w:val="24"/>
              </w:rPr>
              <w:t>E</w:t>
            </w:r>
            <w:r>
              <w:rPr>
                <w:rFonts w:hint="eastAsia"/>
                <w:sz w:val="24"/>
                <w:szCs w:val="24"/>
              </w:rPr>
              <w:t>4.3</w:t>
            </w:r>
          </w:p>
        </w:tc>
        <w:tc>
          <w:tcPr>
            <w:tcW w:w="10004" w:type="dxa"/>
            <w:vAlign w:val="center"/>
          </w:tcPr>
          <w:p>
            <w:pPr>
              <w:spacing w:beforeLines="50" w:afterLines="50"/>
              <w:ind w:firstLine="420" w:firstLineChars="200"/>
              <w:jc w:val="left"/>
              <w:rPr>
                <w:szCs w:val="24"/>
              </w:rPr>
            </w:pPr>
            <w:r>
              <w:rPr>
                <w:rFonts w:hint="eastAsia"/>
                <w:szCs w:val="24"/>
              </w:rPr>
              <w:t>经确认企业的管理体系范围是：</w:t>
            </w:r>
          </w:p>
          <w:p>
            <w:pPr>
              <w:spacing w:beforeLines="50" w:afterLines="50"/>
              <w:ind w:firstLine="420" w:firstLineChars="200"/>
              <w:jc w:val="left"/>
              <w:rPr>
                <w:sz w:val="21"/>
                <w:szCs w:val="21"/>
              </w:rPr>
            </w:pPr>
            <w:r>
              <w:rPr>
                <w:rFonts w:hint="eastAsia"/>
                <w:szCs w:val="24"/>
              </w:rPr>
              <w:t>EMS：</w:t>
            </w:r>
            <w:bookmarkStart w:id="0" w:name="审核范围"/>
            <w:r>
              <w:rPr>
                <w:rFonts w:hint="eastAsia"/>
                <w:sz w:val="21"/>
                <w:szCs w:val="21"/>
                <w:lang w:val="en-US" w:eastAsia="zh-CN"/>
              </w:rPr>
              <w:t>水晶棺、骨灰盒、骨灰存放架</w:t>
            </w:r>
            <w:r>
              <w:rPr>
                <w:sz w:val="21"/>
                <w:szCs w:val="21"/>
              </w:rPr>
              <w:t>的生产；冷冻柜、瞻仰台</w:t>
            </w:r>
            <w:r>
              <w:rPr>
                <w:rFonts w:hint="eastAsia"/>
                <w:sz w:val="21"/>
                <w:szCs w:val="21"/>
                <w:lang w:eastAsia="zh-CN"/>
              </w:rPr>
              <w:t>、</w:t>
            </w:r>
            <w:r>
              <w:rPr>
                <w:sz w:val="21"/>
                <w:szCs w:val="21"/>
              </w:rPr>
              <w:t>解剖台、火化机、</w:t>
            </w:r>
            <w:r>
              <w:rPr>
                <w:rFonts w:hint="eastAsia"/>
                <w:sz w:val="21"/>
                <w:szCs w:val="21"/>
                <w:lang w:val="en-US" w:eastAsia="zh-CN"/>
              </w:rPr>
              <w:t>焚化炉、</w:t>
            </w:r>
            <w:r>
              <w:rPr>
                <w:sz w:val="21"/>
                <w:szCs w:val="21"/>
              </w:rPr>
              <w:t>尾气除尘净化设备、空气净化设备的</w:t>
            </w:r>
            <w:r>
              <w:rPr>
                <w:rFonts w:hint="eastAsia"/>
                <w:sz w:val="21"/>
                <w:szCs w:val="21"/>
                <w:lang w:val="en-US" w:eastAsia="zh-CN"/>
              </w:rPr>
              <w:t>销售</w:t>
            </w:r>
            <w:r>
              <w:rPr>
                <w:sz w:val="21"/>
                <w:szCs w:val="21"/>
              </w:rPr>
              <w:t>相关环境管理活动</w:t>
            </w:r>
            <w:bookmarkEnd w:id="0"/>
            <w:r>
              <w:rPr>
                <w:rFonts w:hint="eastAsia"/>
                <w:sz w:val="21"/>
                <w:szCs w:val="21"/>
                <w:lang w:eastAsia="zh-CN"/>
              </w:rPr>
              <w:t>，</w:t>
            </w:r>
            <w:r>
              <w:rPr>
                <w:rFonts w:hint="eastAsia"/>
                <w:sz w:val="21"/>
                <w:szCs w:val="21"/>
              </w:rPr>
              <w:t>公司外包过程：经识别，水晶棺盖罩加工外包。</w:t>
            </w:r>
          </w:p>
          <w:p>
            <w:pPr>
              <w:spacing w:beforeLines="50" w:afterLines="50"/>
              <w:ind w:firstLine="420" w:firstLineChars="200"/>
              <w:jc w:val="left"/>
              <w:rPr>
                <w:szCs w:val="24"/>
              </w:rPr>
            </w:pPr>
            <w:r>
              <w:rPr>
                <w:rFonts w:hint="eastAsia"/>
                <w:szCs w:val="24"/>
              </w:rPr>
              <w:t>体系自运行以来范围没有变化。</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jc w:val="center"/>
              <w:rPr>
                <w:szCs w:val="24"/>
              </w:rPr>
            </w:pPr>
            <w:r>
              <w:rPr>
                <w:rFonts w:hint="eastAsia"/>
                <w:szCs w:val="24"/>
              </w:rPr>
              <w:t>管理体系及其过程</w:t>
            </w:r>
          </w:p>
        </w:tc>
        <w:tc>
          <w:tcPr>
            <w:tcW w:w="960" w:type="dxa"/>
            <w:vAlign w:val="center"/>
          </w:tcPr>
          <w:p>
            <w:pPr>
              <w:jc w:val="center"/>
              <w:rPr>
                <w:sz w:val="24"/>
                <w:szCs w:val="24"/>
              </w:rPr>
            </w:pPr>
            <w:r>
              <w:rPr>
                <w:sz w:val="24"/>
                <w:szCs w:val="24"/>
              </w:rPr>
              <w:t>E</w:t>
            </w:r>
            <w:r>
              <w:rPr>
                <w:rFonts w:hint="eastAsia"/>
                <w:sz w:val="24"/>
                <w:szCs w:val="24"/>
              </w:rPr>
              <w:t>4.4</w:t>
            </w:r>
          </w:p>
        </w:tc>
        <w:tc>
          <w:tcPr>
            <w:tcW w:w="10004" w:type="dxa"/>
            <w:vAlign w:val="center"/>
          </w:tcPr>
          <w:p>
            <w:pPr>
              <w:spacing w:beforeLines="50" w:afterLines="50"/>
              <w:ind w:firstLine="420" w:firstLineChars="200"/>
              <w:jc w:val="left"/>
              <w:rPr>
                <w:szCs w:val="24"/>
              </w:rPr>
            </w:pPr>
            <w:r>
              <w:rPr>
                <w:rFonts w:hint="eastAsia"/>
                <w:szCs w:val="24"/>
              </w:rPr>
              <w:t>公司按照 GB/T19001-2016 和 GB/T24001-2016、ISO45001:2018 标准的要求识别了质量/环境/职业健康安全管理所需的过程及相互作用，识别了质量和环境、职业健康安全管理体系涉及的各个过程：</w:t>
            </w:r>
          </w:p>
          <w:p>
            <w:pPr>
              <w:spacing w:beforeLines="50" w:afterLines="50"/>
              <w:ind w:firstLine="420" w:firstLineChars="200"/>
              <w:jc w:val="left"/>
              <w:rPr>
                <w:szCs w:val="24"/>
              </w:rPr>
            </w:pPr>
            <w:r>
              <w:rPr>
                <w:rFonts w:hint="eastAsia"/>
                <w:szCs w:val="24"/>
              </w:rPr>
              <w:t>　　a) 确定这些过程所需的输入和期望的输出；</w:t>
            </w:r>
          </w:p>
          <w:p>
            <w:pPr>
              <w:spacing w:beforeLines="50" w:afterLines="50"/>
              <w:ind w:firstLine="420" w:firstLineChars="200"/>
              <w:jc w:val="left"/>
              <w:rPr>
                <w:szCs w:val="24"/>
              </w:rPr>
            </w:pPr>
            <w:r>
              <w:rPr>
                <w:rFonts w:hint="eastAsia"/>
                <w:szCs w:val="24"/>
              </w:rPr>
              <w:t>　　b) 确定这些过程的顺序和相互作用；</w:t>
            </w:r>
          </w:p>
          <w:p>
            <w:pPr>
              <w:spacing w:beforeLines="50" w:afterLines="50"/>
              <w:ind w:firstLine="420" w:firstLineChars="200"/>
              <w:jc w:val="left"/>
              <w:rPr>
                <w:szCs w:val="24"/>
              </w:rPr>
            </w:pPr>
            <w:r>
              <w:rPr>
                <w:rFonts w:hint="eastAsia"/>
                <w:szCs w:val="24"/>
              </w:rPr>
              <w:t>　　c) 建立了程序文件、管理制度、作业指导书、检验规程等明确了各个过程所需的准则和方法，并明确了目标。</w:t>
            </w:r>
          </w:p>
          <w:p>
            <w:pPr>
              <w:spacing w:beforeLines="50" w:afterLines="50"/>
              <w:ind w:firstLine="420" w:firstLineChars="200"/>
              <w:jc w:val="left"/>
              <w:rPr>
                <w:szCs w:val="24"/>
              </w:rPr>
            </w:pPr>
            <w:r>
              <w:rPr>
                <w:rFonts w:hint="eastAsia"/>
                <w:szCs w:val="24"/>
              </w:rPr>
              <w:t>　　d) 规定了每个过程所需的资源；</w:t>
            </w:r>
          </w:p>
          <w:p>
            <w:pPr>
              <w:spacing w:beforeLines="50" w:afterLines="50"/>
              <w:ind w:firstLine="420" w:firstLineChars="200"/>
              <w:jc w:val="left"/>
              <w:rPr>
                <w:szCs w:val="24"/>
              </w:rPr>
            </w:pPr>
            <w:r>
              <w:rPr>
                <w:rFonts w:hint="eastAsia"/>
                <w:szCs w:val="24"/>
              </w:rPr>
              <w:t>　　e) 规定与这些过程相关的责任和权限；</w:t>
            </w:r>
          </w:p>
          <w:p>
            <w:pPr>
              <w:spacing w:beforeLines="50" w:afterLines="50"/>
              <w:ind w:firstLine="420" w:firstLineChars="200"/>
              <w:jc w:val="left"/>
              <w:rPr>
                <w:szCs w:val="24"/>
              </w:rPr>
            </w:pPr>
            <w:r>
              <w:rPr>
                <w:rFonts w:hint="eastAsia"/>
                <w:szCs w:val="24"/>
              </w:rPr>
              <w:t>　  f) 针对这些过程识别和确定了质量管理活动的风险、机会以及所需的措施；</w:t>
            </w:r>
          </w:p>
          <w:p>
            <w:pPr>
              <w:spacing w:beforeLines="50" w:afterLines="50"/>
              <w:ind w:firstLine="420" w:firstLineChars="200"/>
              <w:jc w:val="left"/>
              <w:rPr>
                <w:szCs w:val="24"/>
              </w:rPr>
            </w:pPr>
            <w:r>
              <w:rPr>
                <w:rFonts w:hint="eastAsia"/>
                <w:szCs w:val="24"/>
              </w:rPr>
              <w:t>g) 对这些过程进行了评价，暂无所需的变更；</w:t>
            </w:r>
          </w:p>
          <w:p>
            <w:pPr>
              <w:spacing w:beforeLines="50" w:afterLines="50"/>
              <w:ind w:firstLine="420" w:firstLineChars="200"/>
              <w:jc w:val="left"/>
              <w:rPr>
                <w:szCs w:val="24"/>
              </w:rPr>
            </w:pPr>
            <w:r>
              <w:rPr>
                <w:rFonts w:hint="eastAsia"/>
                <w:szCs w:val="24"/>
              </w:rPr>
              <w:t>h) 公司通过绩效评价、内部审核、管理评审等以期对质量/环境/职业健康安全管理管理体系得到改进。</w:t>
            </w:r>
          </w:p>
          <w:p>
            <w:pPr>
              <w:spacing w:beforeLines="50" w:afterLines="50"/>
              <w:ind w:firstLine="420" w:firstLineChars="200"/>
              <w:jc w:val="left"/>
              <w:rPr>
                <w:szCs w:val="24"/>
              </w:rPr>
            </w:pPr>
            <w:r>
              <w:rPr>
                <w:rFonts w:hint="eastAsia"/>
                <w:szCs w:val="24"/>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szCs w:val="24"/>
              </w:rPr>
            </w:pPr>
            <w:r>
              <w:rPr>
                <w:rFonts w:hint="eastAsia"/>
                <w:szCs w:val="24"/>
              </w:rPr>
              <w:t>方针</w:t>
            </w:r>
          </w:p>
        </w:tc>
        <w:tc>
          <w:tcPr>
            <w:tcW w:w="960" w:type="dxa"/>
            <w:vAlign w:val="center"/>
          </w:tcPr>
          <w:p>
            <w:pPr>
              <w:jc w:val="center"/>
              <w:rPr>
                <w:sz w:val="24"/>
                <w:szCs w:val="24"/>
              </w:rPr>
            </w:pPr>
            <w:r>
              <w:rPr>
                <w:rFonts w:hint="eastAsia"/>
                <w:sz w:val="24"/>
                <w:szCs w:val="24"/>
              </w:rPr>
              <w:t>E5.2</w:t>
            </w:r>
          </w:p>
        </w:tc>
        <w:tc>
          <w:tcPr>
            <w:tcW w:w="10004" w:type="dxa"/>
            <w:vAlign w:val="center"/>
          </w:tcPr>
          <w:p>
            <w:pPr>
              <w:spacing w:beforeLines="50" w:afterLines="50"/>
              <w:ind w:firstLine="420" w:firstLineChars="200"/>
              <w:rPr>
                <w:rFonts w:ascii="宋体"/>
                <w:szCs w:val="24"/>
              </w:rPr>
            </w:pPr>
            <w:r>
              <w:rPr>
                <w:rFonts w:hint="eastAsia" w:ascii="宋体" w:hAnsi="宋体"/>
                <w:szCs w:val="24"/>
              </w:rPr>
              <w:t>企业已经制定管理方针，具体包含在《管理手册》，</w:t>
            </w:r>
          </w:p>
          <w:p>
            <w:pPr>
              <w:spacing w:line="480" w:lineRule="exact"/>
              <w:ind w:firstLine="525" w:firstLineChars="250"/>
              <w:rPr>
                <w:rFonts w:ascii="宋体" w:hAnsi="宋体"/>
                <w:szCs w:val="24"/>
              </w:rPr>
            </w:pPr>
            <w:r>
              <w:rPr>
                <w:rFonts w:hint="eastAsia" w:ascii="宋体" w:hAnsi="宋体"/>
                <w:szCs w:val="24"/>
              </w:rPr>
              <w:t>质量方针：</w:t>
            </w:r>
            <w:r>
              <w:rPr>
                <w:rFonts w:ascii="宋体" w:hAnsi="宋体"/>
                <w:szCs w:val="24"/>
              </w:rPr>
              <w:t>质量至上</w:t>
            </w:r>
            <w:r>
              <w:rPr>
                <w:rFonts w:hint="eastAsia" w:ascii="宋体" w:hAnsi="宋体"/>
                <w:szCs w:val="24"/>
              </w:rPr>
              <w:t>、持续创新、诚实守信、顾客至上</w:t>
            </w:r>
            <w:r>
              <w:rPr>
                <w:rFonts w:ascii="宋体" w:hAnsi="宋体"/>
                <w:szCs w:val="24"/>
              </w:rPr>
              <w:t xml:space="preserve"> </w:t>
            </w:r>
          </w:p>
          <w:p>
            <w:pPr>
              <w:spacing w:line="480" w:lineRule="exact"/>
              <w:ind w:firstLine="525" w:firstLineChars="250"/>
              <w:rPr>
                <w:rFonts w:ascii="宋体" w:hAnsi="宋体"/>
                <w:szCs w:val="24"/>
              </w:rPr>
            </w:pPr>
            <w:r>
              <w:rPr>
                <w:rFonts w:hint="eastAsia" w:ascii="宋体" w:hAnsi="宋体"/>
                <w:szCs w:val="24"/>
              </w:rPr>
              <w:t>环境职业健康安全方针：预防为主，降低风险；遵章守法，创造和谐</w:t>
            </w:r>
          </w:p>
          <w:p>
            <w:pPr>
              <w:spacing w:beforeLines="50" w:afterLines="50"/>
              <w:ind w:firstLine="420" w:firstLineChars="200"/>
              <w:rPr>
                <w:rFonts w:ascii="宋体"/>
                <w:szCs w:val="24"/>
              </w:rPr>
            </w:pPr>
            <w:r>
              <w:rPr>
                <w:rFonts w:hint="eastAsia" w:ascii="宋体" w:hAnsi="宋体"/>
                <w:szCs w:val="24"/>
              </w:rPr>
              <w:t>查领导层参与制定管理体系方针的情况，是否熟悉组织的管理体系方针内容、含义：</w:t>
            </w:r>
          </w:p>
          <w:p>
            <w:pPr>
              <w:spacing w:beforeLines="50" w:afterLines="50"/>
              <w:ind w:firstLine="420" w:firstLineChars="200"/>
              <w:jc w:val="left"/>
              <w:rPr>
                <w:szCs w:val="24"/>
              </w:rPr>
            </w:pPr>
            <w:r>
              <w:rPr>
                <w:rFonts w:hint="eastAsia" w:ascii="宋体" w:hAnsi="宋体"/>
                <w:szCs w:val="24"/>
              </w:rPr>
              <w:t>总经理</w:t>
            </w:r>
            <w:r>
              <w:rPr>
                <w:rFonts w:ascii="宋体" w:hAnsi="宋体"/>
                <w:szCs w:val="24"/>
              </w:rPr>
              <w:t>:</w:t>
            </w:r>
            <w:r>
              <w:rPr>
                <w:rFonts w:hint="eastAsia" w:ascii="宋体" w:hAnsi="宋体"/>
                <w:szCs w:val="21"/>
              </w:rPr>
              <w:t xml:space="preserve"> 邓兵</w:t>
            </w:r>
            <w:r>
              <w:rPr>
                <w:rFonts w:hint="eastAsia" w:ascii="宋体" w:hAnsi="宋体"/>
                <w:szCs w:val="24"/>
              </w:rPr>
              <w:t>；管代：</w:t>
            </w:r>
            <w:r>
              <w:rPr>
                <w:rFonts w:hint="eastAsia" w:ascii="宋体" w:hAnsi="宋体"/>
                <w:szCs w:val="21"/>
              </w:rPr>
              <w:t>邓红</w:t>
            </w:r>
            <w:r>
              <w:rPr>
                <w:rFonts w:hint="eastAsia" w:ascii="宋体" w:hAnsi="宋体"/>
                <w:szCs w:val="24"/>
              </w:rPr>
              <w:t>，按照标准要求制订的方针，并介绍了方针的含义，对体系知识的学习还需加强。管理评审对质量、环境、职业健康安全方针的适宜性作了评审，判定适宜，适合公司的发展需求。质量方针符合标准要求。</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szCs w:val="24"/>
              </w:rPr>
            </w:pPr>
            <w:r>
              <w:rPr>
                <w:rFonts w:hint="eastAsia"/>
                <w:szCs w:val="24"/>
              </w:rPr>
              <w:t>组织的角色、职责和权限</w:t>
            </w:r>
          </w:p>
        </w:tc>
        <w:tc>
          <w:tcPr>
            <w:tcW w:w="960" w:type="dxa"/>
            <w:vAlign w:val="center"/>
          </w:tcPr>
          <w:p>
            <w:pPr>
              <w:jc w:val="center"/>
              <w:rPr>
                <w:sz w:val="24"/>
                <w:szCs w:val="24"/>
              </w:rPr>
            </w:pPr>
            <w:r>
              <w:rPr>
                <w:sz w:val="24"/>
                <w:szCs w:val="24"/>
              </w:rPr>
              <w:t>E</w:t>
            </w:r>
            <w:r>
              <w:rPr>
                <w:rFonts w:hint="eastAsia"/>
                <w:sz w:val="24"/>
                <w:szCs w:val="24"/>
              </w:rPr>
              <w:t>5.3</w:t>
            </w:r>
          </w:p>
        </w:tc>
        <w:tc>
          <w:tcPr>
            <w:tcW w:w="10004" w:type="dxa"/>
            <w:vAlign w:val="center"/>
          </w:tcPr>
          <w:p>
            <w:pPr>
              <w:spacing w:beforeLines="50" w:afterLines="50"/>
              <w:ind w:firstLine="420" w:firstLineChars="200"/>
              <w:jc w:val="left"/>
              <w:rPr>
                <w:szCs w:val="24"/>
              </w:rPr>
            </w:pPr>
            <w:r>
              <w:rPr>
                <w:rFonts w:hint="eastAsia"/>
                <w:szCs w:val="24"/>
              </w:rPr>
              <w:t>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经查每个部门均有部门职责和权限，各岗位的职责和权限、任职要求在《岗位描述书》中得到规定。经查问组织内的职责和权限基本得到沟通，通过文件发布、传达、会议、培训等了解有关职责和权限。同总经理交谈，对于自身职责权限比较清楚。据总经理介绍，一共为体系的建立实施和改进投入了各种资源、资金等,现场询问管代、陪同人员，均了解其职责。</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szCs w:val="24"/>
              </w:rPr>
            </w:pPr>
            <w:r>
              <w:rPr>
                <w:rFonts w:hint="eastAsia"/>
                <w:szCs w:val="24"/>
              </w:rPr>
              <w:t>应对风险和机会的措施</w:t>
            </w:r>
          </w:p>
        </w:tc>
        <w:tc>
          <w:tcPr>
            <w:tcW w:w="960" w:type="dxa"/>
            <w:vAlign w:val="center"/>
          </w:tcPr>
          <w:p>
            <w:pPr>
              <w:jc w:val="center"/>
              <w:rPr>
                <w:sz w:val="24"/>
                <w:szCs w:val="24"/>
              </w:rPr>
            </w:pPr>
            <w:r>
              <w:rPr>
                <w:sz w:val="24"/>
                <w:szCs w:val="24"/>
              </w:rPr>
              <w:t>E</w:t>
            </w:r>
            <w:r>
              <w:rPr>
                <w:rFonts w:hint="eastAsia"/>
                <w:sz w:val="24"/>
                <w:szCs w:val="24"/>
              </w:rPr>
              <w:t>6.1</w:t>
            </w:r>
          </w:p>
        </w:tc>
        <w:tc>
          <w:tcPr>
            <w:tcW w:w="10004" w:type="dxa"/>
            <w:vAlign w:val="center"/>
          </w:tcPr>
          <w:p>
            <w:pPr>
              <w:spacing w:beforeLines="50" w:afterLines="50"/>
              <w:ind w:firstLine="420" w:firstLineChars="200"/>
              <w:jc w:val="left"/>
              <w:rPr>
                <w:szCs w:val="24"/>
              </w:rPr>
            </w:pPr>
            <w:r>
              <w:rPr>
                <w:rFonts w:hint="eastAsia"/>
                <w:szCs w:val="24"/>
              </w:rPr>
              <w:t>公司在策划管理体系时，组织考虑了 4.1 和 4.2 的要求，并确定了各个过程所需要应对的风险和机会，编制了《风险评估管理和应急预案控制程序》。</w:t>
            </w:r>
          </w:p>
          <w:p>
            <w:pPr>
              <w:spacing w:beforeLines="50" w:afterLines="50"/>
              <w:ind w:firstLine="420" w:firstLineChars="200"/>
              <w:jc w:val="left"/>
              <w:rPr>
                <w:szCs w:val="24"/>
              </w:rPr>
            </w:pPr>
            <w:r>
              <w:rPr>
                <w:rFonts w:hint="eastAsia"/>
                <w:szCs w:val="24"/>
              </w:rPr>
              <w:t>提供了《风险和机遇措施表》，对管理过程、销售过程、生产过程的机遇、风险进行了分析，并制定了应对措施，明确了实施责任人、完成时间，批准人董事长彭欢。</w:t>
            </w:r>
          </w:p>
          <w:p>
            <w:pPr>
              <w:spacing w:beforeLines="50" w:afterLines="50"/>
              <w:ind w:firstLine="420" w:firstLineChars="200"/>
              <w:jc w:val="left"/>
              <w:rPr>
                <w:szCs w:val="24"/>
              </w:rPr>
            </w:pPr>
            <w:r>
              <w:rPr>
                <w:rFonts w:hint="eastAsia"/>
                <w:szCs w:val="24"/>
              </w:rPr>
              <w:t>经组织评价，</w:t>
            </w:r>
            <w:r>
              <w:rPr>
                <w:rFonts w:hint="eastAsia" w:ascii="宋体" w:hAnsi="宋体"/>
                <w:szCs w:val="24"/>
              </w:rPr>
              <w:t>应对措施与风险、机遇相适应。</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jc w:val="center"/>
              <w:rPr>
                <w:szCs w:val="24"/>
              </w:rPr>
            </w:pPr>
            <w:r>
              <w:rPr>
                <w:rFonts w:hint="eastAsia"/>
                <w:szCs w:val="24"/>
              </w:rPr>
              <w:t>目标和措施计划（管理方案）</w:t>
            </w:r>
          </w:p>
        </w:tc>
        <w:tc>
          <w:tcPr>
            <w:tcW w:w="960" w:type="dxa"/>
            <w:vAlign w:val="center"/>
          </w:tcPr>
          <w:p>
            <w:pPr>
              <w:jc w:val="center"/>
              <w:rPr>
                <w:sz w:val="24"/>
                <w:szCs w:val="24"/>
              </w:rPr>
            </w:pPr>
            <w:r>
              <w:rPr>
                <w:sz w:val="24"/>
                <w:szCs w:val="24"/>
              </w:rPr>
              <w:t>E</w:t>
            </w:r>
            <w:r>
              <w:rPr>
                <w:rFonts w:hint="eastAsia"/>
                <w:sz w:val="24"/>
                <w:szCs w:val="24"/>
              </w:rPr>
              <w:t>6.2</w:t>
            </w:r>
          </w:p>
        </w:tc>
        <w:tc>
          <w:tcPr>
            <w:tcW w:w="10004" w:type="dxa"/>
            <w:vAlign w:val="center"/>
          </w:tcPr>
          <w:p>
            <w:pPr>
              <w:spacing w:beforeLines="50" w:afterLines="50"/>
              <w:ind w:firstLine="420" w:firstLineChars="200"/>
              <w:rPr>
                <w:rFonts w:ascii="宋体" w:hAns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50" w:afterLines="50"/>
              <w:ind w:firstLine="420" w:firstLineChars="200"/>
              <w:rPr>
                <w:rFonts w:ascii="宋体" w:hAnsi="宋体"/>
                <w:color w:val="000000"/>
                <w:szCs w:val="21"/>
              </w:rPr>
            </w:pPr>
            <w:r>
              <w:rPr>
                <w:rFonts w:hint="eastAsia" w:ascii="宋体" w:hAnsi="宋体"/>
                <w:color w:val="000000"/>
                <w:szCs w:val="21"/>
              </w:rPr>
              <w:t>安环目标：固体废弃物分类处置率100%；</w:t>
            </w:r>
          </w:p>
          <w:p>
            <w:pPr>
              <w:spacing w:beforeLines="50" w:afterLines="50"/>
              <w:ind w:firstLine="1470" w:firstLineChars="700"/>
              <w:jc w:val="left"/>
              <w:rPr>
                <w:rFonts w:ascii="宋体" w:hAnsi="宋体"/>
                <w:color w:val="000000"/>
                <w:szCs w:val="21"/>
              </w:rPr>
            </w:pPr>
            <w:r>
              <w:rPr>
                <w:rFonts w:hint="eastAsia" w:ascii="宋体" w:hAnsi="宋体"/>
                <w:color w:val="000000"/>
                <w:szCs w:val="21"/>
              </w:rPr>
              <w:t>火灾事故为0</w:t>
            </w:r>
          </w:p>
          <w:p>
            <w:pPr>
              <w:spacing w:beforeLines="50" w:afterLines="50"/>
              <w:ind w:firstLine="420" w:firstLineChars="200"/>
              <w:jc w:val="left"/>
              <w:rPr>
                <w:szCs w:val="24"/>
              </w:rPr>
            </w:pPr>
            <w:r>
              <w:rPr>
                <w:rFonts w:hint="eastAsia" w:ascii="宋体" w:hAnsi="宋体"/>
                <w:szCs w:val="24"/>
              </w:rPr>
              <w:t>组织对公司质量/环境/职业健康安全目标、指标予以分解，并在相关职能层次部门建立分目标。各部门已达成。</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2160" w:type="dxa"/>
            <w:vAlign w:val="center"/>
          </w:tcPr>
          <w:p>
            <w:pPr>
              <w:jc w:val="center"/>
              <w:rPr>
                <w:szCs w:val="24"/>
              </w:rPr>
            </w:pPr>
            <w:r>
              <w:rPr>
                <w:rFonts w:hint="eastAsia"/>
                <w:szCs w:val="24"/>
              </w:rPr>
              <w:t>管理评审</w:t>
            </w:r>
          </w:p>
        </w:tc>
        <w:tc>
          <w:tcPr>
            <w:tcW w:w="960" w:type="dxa"/>
            <w:vAlign w:val="center"/>
          </w:tcPr>
          <w:p>
            <w:pPr>
              <w:jc w:val="center"/>
              <w:rPr>
                <w:szCs w:val="24"/>
              </w:rPr>
            </w:pPr>
            <w:r>
              <w:rPr>
                <w:rFonts w:hint="eastAsia"/>
                <w:szCs w:val="24"/>
                <w:lang w:val="en-US" w:eastAsia="zh-CN"/>
              </w:rPr>
              <w:t>E</w:t>
            </w:r>
            <w:r>
              <w:rPr>
                <w:rFonts w:hint="eastAsia"/>
                <w:szCs w:val="24"/>
              </w:rPr>
              <w:t>9.3</w:t>
            </w:r>
          </w:p>
        </w:tc>
        <w:tc>
          <w:tcPr>
            <w:tcW w:w="10004" w:type="dxa"/>
            <w:vAlign w:val="center"/>
          </w:tcPr>
          <w:p>
            <w:pPr>
              <w:spacing w:beforeLines="50" w:afterLines="50"/>
              <w:ind w:firstLine="420" w:firstLineChars="200"/>
              <w:rPr>
                <w:rFonts w:ascii="宋体"/>
                <w:szCs w:val="24"/>
              </w:rPr>
            </w:pPr>
            <w:r>
              <w:rPr>
                <w:rFonts w:hint="eastAsia" w:ascii="宋体" w:hAnsi="宋体"/>
                <w:szCs w:val="24"/>
              </w:rPr>
              <w:t>查看《管理评审控制程序》，基本符合要求。</w:t>
            </w:r>
            <w:r>
              <w:rPr>
                <w:rFonts w:ascii="宋体" w:hAnsi="宋体"/>
                <w:szCs w:val="24"/>
              </w:rPr>
              <w:t>20</w:t>
            </w:r>
            <w:r>
              <w:rPr>
                <w:rFonts w:hint="eastAsia" w:ascii="宋体" w:hAnsi="宋体"/>
                <w:szCs w:val="24"/>
              </w:rPr>
              <w:t>2</w:t>
            </w:r>
            <w:r>
              <w:rPr>
                <w:rFonts w:hint="eastAsia" w:ascii="宋体" w:hAnsi="宋体"/>
                <w:szCs w:val="24"/>
                <w:lang w:val="en-US" w:eastAsia="zh-CN"/>
              </w:rPr>
              <w:t>1</w:t>
            </w:r>
            <w:r>
              <w:rPr>
                <w:rFonts w:ascii="宋体" w:hAnsi="宋体"/>
                <w:szCs w:val="24"/>
              </w:rPr>
              <w:t>.</w:t>
            </w:r>
            <w:r>
              <w:rPr>
                <w:rFonts w:hint="eastAsia" w:ascii="宋体" w:hAnsi="宋体"/>
                <w:szCs w:val="24"/>
              </w:rPr>
              <w:t>8</w:t>
            </w:r>
            <w:r>
              <w:rPr>
                <w:rFonts w:ascii="宋体" w:hAnsi="宋体"/>
                <w:szCs w:val="24"/>
              </w:rPr>
              <w:t>.</w:t>
            </w:r>
            <w:r>
              <w:rPr>
                <w:rFonts w:hint="eastAsia" w:ascii="宋体" w:hAnsi="宋体"/>
                <w:szCs w:val="24"/>
                <w:lang w:val="en-US" w:eastAsia="zh-CN"/>
              </w:rPr>
              <w:t>26</w:t>
            </w:r>
            <w:r>
              <w:rPr>
                <w:rFonts w:hint="eastAsia" w:ascii="宋体" w:hAnsi="宋体"/>
                <w:szCs w:val="24"/>
              </w:rPr>
              <w:t>日进行了管理评审。</w:t>
            </w:r>
          </w:p>
          <w:p>
            <w:pPr>
              <w:spacing w:beforeLines="50" w:afterLines="50"/>
              <w:ind w:firstLine="420" w:firstLineChars="200"/>
              <w:rPr>
                <w:rFonts w:ascii="宋体"/>
                <w:szCs w:val="24"/>
              </w:rPr>
            </w:pPr>
            <w:r>
              <w:rPr>
                <w:rFonts w:hint="eastAsia" w:ascii="宋体" w:hAnsi="宋体"/>
                <w:szCs w:val="24"/>
              </w:rPr>
              <w:t>查看“管理评审计划”，由总经理邓兵签发；内容包括；评审目的、评审时间、参加部门人员、评审输入内容等。</w:t>
            </w:r>
          </w:p>
          <w:p>
            <w:pPr>
              <w:spacing w:beforeLines="50" w:afterLines="50"/>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w:t>
            </w:r>
            <w:r>
              <w:rPr>
                <w:rFonts w:hint="eastAsia" w:ascii="宋体" w:hAnsi="宋体"/>
                <w:szCs w:val="24"/>
                <w:lang w:eastAsia="zh-CN"/>
              </w:rPr>
              <w:t>、</w:t>
            </w:r>
            <w:r>
              <w:rPr>
                <w:rFonts w:hint="eastAsia" w:ascii="宋体" w:hAnsi="宋体"/>
                <w:szCs w:val="24"/>
                <w:lang w:val="en-US" w:eastAsia="zh-CN"/>
              </w:rPr>
              <w:t>上次不符合项的整改情况</w:t>
            </w:r>
            <w:r>
              <w:rPr>
                <w:rFonts w:hint="eastAsia" w:ascii="宋体" w:hAnsi="宋体"/>
                <w:szCs w:val="24"/>
              </w:rPr>
              <w:t>等。管理评审的输入基本充分。查到各部门汇报材料，有参加人员签到表。</w:t>
            </w:r>
          </w:p>
          <w:p>
            <w:pPr>
              <w:spacing w:beforeLines="50" w:afterLines="50"/>
              <w:ind w:firstLine="420" w:firstLineChars="200"/>
              <w:rPr>
                <w:rFonts w:ascii="宋体"/>
                <w:szCs w:val="24"/>
              </w:rPr>
            </w:pPr>
            <w:r>
              <w:rPr>
                <w:rFonts w:hint="eastAsia" w:ascii="宋体" w:hAnsi="宋体"/>
                <w:szCs w:val="24"/>
              </w:rPr>
              <w:t>管理评审输出：</w:t>
            </w:r>
          </w:p>
          <w:p>
            <w:pPr>
              <w:spacing w:beforeLines="50" w:afterLines="50"/>
              <w:ind w:firstLine="420" w:firstLineChars="200"/>
              <w:rPr>
                <w:rFonts w:ascii="宋体"/>
                <w:szCs w:val="24"/>
              </w:rPr>
            </w:pPr>
            <w:r>
              <w:rPr>
                <w:rFonts w:hint="eastAsia" w:ascii="宋体" w:hAnsi="宋体"/>
                <w:szCs w:val="24"/>
              </w:rPr>
              <w:t>查看了董事长彭欢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beforeLines="50" w:afterLines="50"/>
              <w:ind w:firstLine="420" w:firstLineChars="200"/>
              <w:rPr>
                <w:rFonts w:ascii="宋体" w:hAnsi="宋体"/>
                <w:sz w:val="21"/>
                <w:szCs w:val="21"/>
              </w:rPr>
            </w:pPr>
            <w:r>
              <w:rPr>
                <w:rFonts w:hint="eastAsia" w:ascii="宋体" w:hAnsi="宋体"/>
                <w:sz w:val="21"/>
                <w:szCs w:val="21"/>
              </w:rPr>
              <w:t xml:space="preserve">提出了如下改进措施: </w:t>
            </w:r>
          </w:p>
          <w:p>
            <w:pPr>
              <w:numPr>
                <w:ilvl w:val="0"/>
                <w:numId w:val="1"/>
              </w:numPr>
              <w:spacing w:line="360" w:lineRule="auto"/>
              <w:jc w:val="left"/>
              <w:rPr>
                <w:color w:val="000000"/>
                <w:sz w:val="21"/>
                <w:szCs w:val="21"/>
              </w:rPr>
            </w:pPr>
            <w:r>
              <w:rPr>
                <w:rFonts w:hint="eastAsia"/>
                <w:color w:val="000000"/>
                <w:sz w:val="21"/>
                <w:szCs w:val="21"/>
              </w:rPr>
              <w:t>加强供应商质量控制；</w:t>
            </w:r>
          </w:p>
          <w:p>
            <w:pPr>
              <w:numPr>
                <w:ilvl w:val="0"/>
                <w:numId w:val="1"/>
              </w:numPr>
              <w:spacing w:line="360" w:lineRule="auto"/>
              <w:jc w:val="left"/>
              <w:rPr>
                <w:color w:val="000000"/>
                <w:sz w:val="24"/>
              </w:rPr>
            </w:pPr>
            <w:r>
              <w:rPr>
                <w:rFonts w:hint="eastAsia"/>
                <w:color w:val="000000"/>
                <w:sz w:val="21"/>
                <w:szCs w:val="21"/>
              </w:rPr>
              <w:t>加强内部管理，提高人员综合素质</w:t>
            </w:r>
            <w:r>
              <w:rPr>
                <w:rFonts w:hint="eastAsia"/>
                <w:color w:val="000000"/>
                <w:sz w:val="24"/>
              </w:rPr>
              <w:t>；</w:t>
            </w:r>
          </w:p>
          <w:p>
            <w:pPr>
              <w:spacing w:beforeLines="50" w:afterLines="50"/>
              <w:ind w:firstLine="420" w:firstLineChars="200"/>
              <w:rPr>
                <w:rFonts w:ascii="宋体" w:hAnsi="宋体"/>
                <w:szCs w:val="24"/>
              </w:rPr>
            </w:pPr>
            <w:r>
              <w:rPr>
                <w:rFonts w:hint="eastAsia" w:ascii="宋体" w:hAnsi="宋体"/>
                <w:szCs w:val="24"/>
              </w:rPr>
              <w:t>目前已制定计划，正在实施中；</w:t>
            </w:r>
          </w:p>
          <w:p>
            <w:pPr>
              <w:spacing w:beforeLines="50" w:afterLines="50"/>
              <w:ind w:firstLine="420" w:firstLineChars="200"/>
              <w:rPr>
                <w:rFonts w:ascii="宋体" w:hAnsi="宋体"/>
                <w:szCs w:val="24"/>
              </w:rPr>
            </w:pPr>
            <w:r>
              <w:rPr>
                <w:rFonts w:hint="eastAsia" w:ascii="宋体" w:hAnsi="宋体"/>
                <w:szCs w:val="24"/>
              </w:rPr>
              <w:t>查去年管理评审会议决议完成情况，进一步加强员工特别是中层管理干部及计量人员进行有关计量检测体系的法律法规、公司内部文件的培训力度，使工作更加到位；已由行政部组织培训，并完成；</w:t>
            </w:r>
          </w:p>
          <w:p>
            <w:pPr>
              <w:spacing w:beforeLines="50" w:afterLines="50"/>
              <w:ind w:firstLine="420" w:firstLineChars="200"/>
              <w:rPr>
                <w:rFonts w:ascii="宋体" w:hAnsi="宋体"/>
                <w:szCs w:val="24"/>
              </w:rPr>
            </w:pPr>
            <w:r>
              <w:rPr>
                <w:rFonts w:hint="eastAsia" w:ascii="宋体" w:hAnsi="宋体"/>
                <w:szCs w:val="24"/>
              </w:rPr>
              <w:t>管理评审的策划及实施符合要求。</w:t>
            </w:r>
          </w:p>
          <w:p>
            <w:pPr>
              <w:spacing w:beforeLines="50" w:afterLines="50"/>
              <w:ind w:firstLine="420" w:firstLineChars="200"/>
              <w:rPr>
                <w:rFonts w:hint="eastAsia" w:ascii="宋体" w:hAnsi="宋体" w:eastAsia="宋体"/>
                <w:szCs w:val="24"/>
                <w:lang w:eastAsia="zh-CN"/>
              </w:rPr>
            </w:pPr>
            <w:bookmarkStart w:id="1" w:name="_GoBack"/>
            <w:r>
              <w:rPr>
                <w:rFonts w:hint="eastAsia" w:ascii="宋体" w:hAnsi="宋体" w:eastAsia="宋体"/>
                <w:szCs w:val="24"/>
                <w:lang w:eastAsia="zh-CN"/>
              </w:rPr>
              <w:drawing>
                <wp:inline distT="0" distB="0" distL="114300" distR="114300">
                  <wp:extent cx="2055495" cy="2741295"/>
                  <wp:effectExtent l="0" t="0" r="1905" b="1905"/>
                  <wp:docPr id="2" name="图片 2" descr="2a033ec237b6347d4b94a7c8026b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033ec237b6347d4b94a7c8026b236"/>
                          <pic:cNvPicPr>
                            <a:picLocks noChangeAspect="1"/>
                          </pic:cNvPicPr>
                        </pic:nvPicPr>
                        <pic:blipFill>
                          <a:blip r:embed="rId6"/>
                          <a:stretch>
                            <a:fillRect/>
                          </a:stretch>
                        </pic:blipFill>
                        <pic:spPr>
                          <a:xfrm>
                            <a:off x="0" y="0"/>
                            <a:ext cx="2055495" cy="2741295"/>
                          </a:xfrm>
                          <a:prstGeom prst="rect">
                            <a:avLst/>
                          </a:prstGeom>
                        </pic:spPr>
                      </pic:pic>
                    </a:graphicData>
                  </a:graphic>
                </wp:inline>
              </w:drawing>
            </w:r>
            <w:bookmarkEnd w:id="1"/>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szCs w:val="24"/>
              </w:rPr>
            </w:pPr>
            <w:r>
              <w:rPr>
                <w:rFonts w:hAnsi="宋体"/>
                <w:szCs w:val="24"/>
              </w:rPr>
              <w:t>改进</w:t>
            </w:r>
          </w:p>
          <w:p>
            <w:pPr>
              <w:rPr>
                <w:szCs w:val="24"/>
              </w:rPr>
            </w:pPr>
          </w:p>
        </w:tc>
        <w:tc>
          <w:tcPr>
            <w:tcW w:w="960" w:type="dxa"/>
            <w:vAlign w:val="center"/>
          </w:tcPr>
          <w:p>
            <w:pPr>
              <w:rPr>
                <w:szCs w:val="24"/>
              </w:rPr>
            </w:pPr>
            <w:r>
              <w:rPr>
                <w:szCs w:val="24"/>
              </w:rPr>
              <w:t>E10.1</w:t>
            </w:r>
            <w:r>
              <w:rPr>
                <w:rFonts w:hAnsi="宋体"/>
                <w:szCs w:val="24"/>
              </w:rPr>
              <w:t>、</w:t>
            </w:r>
            <w:r>
              <w:rPr>
                <w:szCs w:val="24"/>
              </w:rPr>
              <w:t>10.3</w:t>
            </w:r>
          </w:p>
          <w:p>
            <w:pPr>
              <w:rPr>
                <w:szCs w:val="24"/>
              </w:rPr>
            </w:pPr>
          </w:p>
        </w:tc>
        <w:tc>
          <w:tcPr>
            <w:tcW w:w="10004" w:type="dxa"/>
            <w:vAlign w:val="center"/>
          </w:tcPr>
          <w:p>
            <w:pPr>
              <w:snapToGrid w:val="0"/>
              <w:spacing w:beforeLines="50" w:afterLines="50"/>
              <w:ind w:firstLine="420" w:firstLineChars="200"/>
              <w:rPr>
                <w:szCs w:val="24"/>
              </w:rPr>
            </w:pPr>
            <w:r>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beforeLines="50" w:afterLines="50"/>
              <w:ind w:firstLine="420" w:firstLineChars="200"/>
              <w:rPr>
                <w:szCs w:val="24"/>
              </w:rPr>
            </w:pPr>
            <w:r>
              <w:rPr>
                <w:rFonts w:hAnsi="宋体"/>
                <w:szCs w:val="24"/>
              </w:rPr>
              <w:t>自体系运行以来，全员的质量意识、安全意识有较大的提高，市场经营规模有了较大发展，持续改进了质量管理体系的有效性。</w:t>
            </w:r>
          </w:p>
        </w:tc>
        <w:tc>
          <w:tcPr>
            <w:tcW w:w="1585" w:type="dxa"/>
            <w:vAlign w:val="center"/>
          </w:tcPr>
          <w:p>
            <w:pPr>
              <w:spacing w:beforeLines="50" w:afterLines="50"/>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Ansi="宋体"/>
                <w:szCs w:val="21"/>
              </w:rPr>
            </w:pPr>
            <w:r>
              <w:rPr>
                <w:rFonts w:hint="eastAsia" w:hAnsi="宋体"/>
                <w:szCs w:val="21"/>
              </w:rPr>
              <w:t>标准/规范/法规的执行情况</w:t>
            </w:r>
          </w:p>
        </w:tc>
        <w:tc>
          <w:tcPr>
            <w:tcW w:w="960" w:type="dxa"/>
            <w:vAlign w:val="center"/>
          </w:tcPr>
          <w:p>
            <w:pPr>
              <w:rPr>
                <w:szCs w:val="21"/>
              </w:rPr>
            </w:pPr>
          </w:p>
        </w:tc>
        <w:tc>
          <w:tcPr>
            <w:tcW w:w="10004" w:type="dxa"/>
            <w:vAlign w:val="center"/>
          </w:tcPr>
          <w:p>
            <w:pPr>
              <w:snapToGrid w:val="0"/>
              <w:spacing w:line="360" w:lineRule="auto"/>
              <w:ind w:firstLine="420" w:firstLineChars="200"/>
              <w:rPr>
                <w:rFonts w:hAnsi="宋体"/>
                <w:color w:val="000000"/>
                <w:szCs w:val="21"/>
              </w:rPr>
            </w:pPr>
            <w:r>
              <w:rPr>
                <w:rFonts w:hAnsi="宋体"/>
                <w:color w:val="000000"/>
                <w:szCs w:val="21"/>
              </w:rPr>
              <w:t>未发生重大质量事故、安全事故、准守法律法规要求。</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Ansi="宋体"/>
                <w:szCs w:val="21"/>
              </w:rPr>
            </w:pPr>
            <w:r>
              <w:rPr>
                <w:rFonts w:hint="eastAsia" w:hAnsi="宋体"/>
                <w:szCs w:val="21"/>
              </w:rPr>
              <w:t>上次审核不符合项的验证</w:t>
            </w:r>
          </w:p>
        </w:tc>
        <w:tc>
          <w:tcPr>
            <w:tcW w:w="960" w:type="dxa"/>
            <w:vAlign w:val="center"/>
          </w:tcPr>
          <w:p>
            <w:pPr>
              <w:rPr>
                <w:szCs w:val="21"/>
              </w:rPr>
            </w:pPr>
          </w:p>
        </w:tc>
        <w:tc>
          <w:tcPr>
            <w:tcW w:w="10004" w:type="dxa"/>
            <w:vAlign w:val="center"/>
          </w:tcPr>
          <w:p>
            <w:pPr>
              <w:snapToGrid w:val="0"/>
              <w:spacing w:line="360" w:lineRule="auto"/>
              <w:ind w:firstLine="420" w:firstLineChars="200"/>
              <w:rPr>
                <w:rFonts w:hAnsi="宋体"/>
                <w:color w:val="000000"/>
                <w:szCs w:val="21"/>
              </w:rPr>
            </w:pPr>
            <w:r>
              <w:rPr>
                <w:rFonts w:hint="eastAsia" w:hAnsi="宋体"/>
                <w:color w:val="000000"/>
                <w:szCs w:val="21"/>
              </w:rPr>
              <w:t>上次审核不符合项</w:t>
            </w:r>
            <w:r>
              <w:rPr>
                <w:rFonts w:hint="eastAsia" w:hAnsi="宋体"/>
                <w:color w:val="000000"/>
                <w:szCs w:val="21"/>
                <w:lang w:val="en-US" w:eastAsia="zh-CN"/>
              </w:rPr>
              <w:t>2</w:t>
            </w:r>
            <w:r>
              <w:rPr>
                <w:rFonts w:hint="eastAsia" w:hAnsi="宋体"/>
                <w:color w:val="000000"/>
                <w:szCs w:val="21"/>
              </w:rPr>
              <w:t>个：</w:t>
            </w:r>
          </w:p>
          <w:p>
            <w:pPr>
              <w:spacing w:before="120" w:line="240" w:lineRule="auto"/>
              <w:ind w:firstLine="420" w:firstLineChars="2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1、现场查看焊接工序，氧气瓶与乙炔瓶在一起放置，安全距离不符合《电业安全工作规程(热力和机械部分)》第14.4.9条规定。</w:t>
            </w:r>
          </w:p>
          <w:p>
            <w:pPr>
              <w:spacing w:before="120" w:line="240" w:lineRule="auto"/>
              <w:ind w:firstLine="420" w:firstLineChars="2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2、查看公司采购并使用了供应商“珠海展辰新材料股份有限公司”的油漆（面漆、底漆）原材料，但此供应商未在合格供应商名册中，ISO9001：2015标准8.4条款要求</w:t>
            </w:r>
          </w:p>
          <w:p>
            <w:pPr>
              <w:snapToGrid w:val="0"/>
              <w:spacing w:line="360" w:lineRule="auto"/>
              <w:ind w:firstLine="420" w:firstLineChars="200"/>
              <w:rPr>
                <w:rFonts w:hAnsi="宋体"/>
                <w:color w:val="000000"/>
                <w:szCs w:val="21"/>
              </w:rPr>
            </w:pPr>
            <w:r>
              <w:rPr>
                <w:rFonts w:hint="eastAsia" w:hAnsi="宋体"/>
                <w:color w:val="000000"/>
                <w:szCs w:val="21"/>
              </w:rPr>
              <w:t>经本次审核验证无类似不符合情况出现，整改措施有效。</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Ansi="宋体"/>
                <w:szCs w:val="21"/>
              </w:rPr>
            </w:pPr>
            <w:r>
              <w:rPr>
                <w:rFonts w:hint="eastAsia" w:hAnsi="宋体"/>
                <w:szCs w:val="21"/>
              </w:rPr>
              <w:t>认证证书、标志的使用情况</w:t>
            </w:r>
          </w:p>
        </w:tc>
        <w:tc>
          <w:tcPr>
            <w:tcW w:w="960" w:type="dxa"/>
            <w:vAlign w:val="center"/>
          </w:tcPr>
          <w:p>
            <w:pPr>
              <w:rPr>
                <w:szCs w:val="21"/>
              </w:rPr>
            </w:pPr>
          </w:p>
        </w:tc>
        <w:tc>
          <w:tcPr>
            <w:tcW w:w="10004" w:type="dxa"/>
            <w:vAlign w:val="center"/>
          </w:tcPr>
          <w:p>
            <w:pPr>
              <w:snapToGrid w:val="0"/>
              <w:spacing w:line="360" w:lineRule="auto"/>
              <w:ind w:firstLine="420" w:firstLineChars="200"/>
              <w:rPr>
                <w:rFonts w:hAnsi="宋体"/>
                <w:color w:val="000000"/>
                <w:szCs w:val="21"/>
              </w:rPr>
            </w:pPr>
            <w:r>
              <w:rPr>
                <w:rFonts w:hAnsi="宋体"/>
                <w:color w:val="000000"/>
                <w:szCs w:val="21"/>
              </w:rPr>
              <w:t>标志未应用在产品上；投标等情况使用认证证书。</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Ansi="宋体"/>
                <w:szCs w:val="21"/>
              </w:rPr>
            </w:pPr>
            <w:r>
              <w:rPr>
                <w:rFonts w:hint="eastAsia" w:hAnsi="宋体"/>
                <w:szCs w:val="21"/>
              </w:rPr>
              <w:t>投诉或事故、监督抽查情况、</w:t>
            </w:r>
          </w:p>
        </w:tc>
        <w:tc>
          <w:tcPr>
            <w:tcW w:w="960" w:type="dxa"/>
            <w:vAlign w:val="center"/>
          </w:tcPr>
          <w:p>
            <w:pPr>
              <w:rPr>
                <w:szCs w:val="21"/>
              </w:rPr>
            </w:pPr>
          </w:p>
        </w:tc>
        <w:tc>
          <w:tcPr>
            <w:tcW w:w="10004" w:type="dxa"/>
            <w:vAlign w:val="center"/>
          </w:tcPr>
          <w:p>
            <w:pPr>
              <w:snapToGrid w:val="0"/>
              <w:spacing w:line="360" w:lineRule="auto"/>
              <w:ind w:firstLine="420" w:firstLineChars="200"/>
              <w:rPr>
                <w:rFonts w:hAnsi="宋体"/>
                <w:color w:val="000000"/>
                <w:szCs w:val="21"/>
              </w:rPr>
            </w:pPr>
            <w:r>
              <w:rPr>
                <w:rFonts w:hint="eastAsia" w:hAnsi="宋体"/>
                <w:color w:val="000000"/>
                <w:szCs w:val="21"/>
              </w:rPr>
              <w:t>自公司成立以来，未受到上级主管部门有关质量、职业健康安全的行政处罚。未发生相关方的投诉。</w:t>
            </w:r>
          </w:p>
          <w:p>
            <w:pPr>
              <w:snapToGrid w:val="0"/>
              <w:spacing w:line="360" w:lineRule="auto"/>
              <w:ind w:firstLine="420" w:firstLineChars="200"/>
              <w:rPr>
                <w:rFonts w:hAnsi="宋体"/>
                <w:color w:val="000000"/>
                <w:szCs w:val="21"/>
              </w:rPr>
            </w:pPr>
            <w:r>
              <w:rPr>
                <w:rFonts w:hint="eastAsia" w:hAnsi="宋体"/>
                <w:color w:val="000000"/>
                <w:szCs w:val="21"/>
              </w:rPr>
              <w:t>暂时没有国家/地方抽查情况。</w:t>
            </w:r>
          </w:p>
          <w:p>
            <w:pPr>
              <w:snapToGrid w:val="0"/>
              <w:spacing w:line="360" w:lineRule="auto"/>
              <w:ind w:firstLine="420" w:firstLineChars="200"/>
              <w:rPr>
                <w:rFonts w:hAnsi="宋体"/>
                <w:color w:val="000000"/>
                <w:szCs w:val="21"/>
              </w:rPr>
            </w:pPr>
            <w:r>
              <w:rPr>
                <w:rFonts w:hint="eastAsia" w:hAnsi="宋体"/>
                <w:color w:val="000000"/>
                <w:szCs w:val="21"/>
              </w:rPr>
              <w:t>目前没有相关行政主管部门的检查处罚，在审核现场也未发现抽查、相关方投诉等情况。</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Ansi="宋体"/>
                <w:szCs w:val="21"/>
              </w:rPr>
            </w:pPr>
            <w:r>
              <w:rPr>
                <w:rFonts w:hint="eastAsia" w:hAnsiTheme="minorEastAsia" w:eastAsiaTheme="minorEastAsia"/>
                <w:szCs w:val="21"/>
              </w:rPr>
              <w:t>体系变动</w:t>
            </w:r>
          </w:p>
        </w:tc>
        <w:tc>
          <w:tcPr>
            <w:tcW w:w="960" w:type="dxa"/>
            <w:vAlign w:val="center"/>
          </w:tcPr>
          <w:p>
            <w:pPr>
              <w:rPr>
                <w:szCs w:val="21"/>
              </w:rPr>
            </w:pPr>
          </w:p>
        </w:tc>
        <w:tc>
          <w:tcPr>
            <w:tcW w:w="10004" w:type="dxa"/>
            <w:vAlign w:val="center"/>
          </w:tcPr>
          <w:p>
            <w:pPr>
              <w:snapToGrid w:val="0"/>
              <w:spacing w:line="360" w:lineRule="auto"/>
              <w:ind w:firstLine="420" w:firstLineChars="200"/>
              <w:rPr>
                <w:rFonts w:hAnsi="宋体"/>
                <w:color w:val="000000"/>
                <w:szCs w:val="21"/>
              </w:rPr>
            </w:pPr>
            <w:r>
              <w:rPr>
                <w:rFonts w:hint="eastAsia" w:hAnsi="宋体"/>
                <w:color w:val="000000"/>
                <w:szCs w:val="21"/>
                <w:lang w:val="en-US" w:eastAsia="zh-CN"/>
              </w:rPr>
              <w:t>没有变动</w:t>
            </w:r>
            <w:r>
              <w:rPr>
                <w:rFonts w:hint="eastAsia" w:hAnsi="宋体"/>
                <w:color w:val="000000"/>
                <w:szCs w:val="21"/>
              </w:rPr>
              <w:t>；</w:t>
            </w:r>
          </w:p>
        </w:tc>
        <w:tc>
          <w:tcPr>
            <w:tcW w:w="1585" w:type="dxa"/>
          </w:tcPr>
          <w:p>
            <w:r>
              <w:rPr>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vAlign w:val="center"/>
          </w:tcPr>
          <w:p>
            <w:pPr>
              <w:rPr>
                <w:rFonts w:hAnsi="宋体"/>
                <w:szCs w:val="21"/>
              </w:rPr>
            </w:pPr>
          </w:p>
        </w:tc>
        <w:tc>
          <w:tcPr>
            <w:tcW w:w="960" w:type="dxa"/>
            <w:vAlign w:val="center"/>
          </w:tcPr>
          <w:p>
            <w:pPr>
              <w:rPr>
                <w:szCs w:val="21"/>
              </w:rPr>
            </w:pPr>
          </w:p>
        </w:tc>
        <w:tc>
          <w:tcPr>
            <w:tcW w:w="10004" w:type="dxa"/>
            <w:vAlign w:val="center"/>
          </w:tcPr>
          <w:p>
            <w:pPr>
              <w:snapToGrid w:val="0"/>
              <w:spacing w:line="360" w:lineRule="auto"/>
              <w:ind w:firstLine="420" w:firstLineChars="200"/>
              <w:rPr>
                <w:rFonts w:hAnsi="宋体"/>
                <w:color w:val="000000"/>
                <w:szCs w:val="21"/>
              </w:rPr>
            </w:pPr>
          </w:p>
        </w:tc>
        <w:tc>
          <w:tcPr>
            <w:tcW w:w="1585" w:type="dxa"/>
          </w:tcPr>
          <w:p/>
        </w:tc>
      </w:tr>
    </w:tbl>
    <w:p>
      <w:r>
        <w:ptab w:relativeTo="margin" w:alignment="center" w:leader="none"/>
      </w:r>
    </w:p>
    <w:p/>
    <w:p/>
    <w:p>
      <w:pPr>
        <w:pStyle w:val="4"/>
      </w:pPr>
      <w: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D17B5"/>
    <w:multiLevelType w:val="multilevel"/>
    <w:tmpl w:val="13AD17B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2763"/>
    <w:rsid w:val="0003468B"/>
    <w:rsid w:val="0006313B"/>
    <w:rsid w:val="000A4E12"/>
    <w:rsid w:val="0017201F"/>
    <w:rsid w:val="001D1F13"/>
    <w:rsid w:val="001D27F1"/>
    <w:rsid w:val="00202156"/>
    <w:rsid w:val="00215FBE"/>
    <w:rsid w:val="0025083A"/>
    <w:rsid w:val="00277EF9"/>
    <w:rsid w:val="00281220"/>
    <w:rsid w:val="00281394"/>
    <w:rsid w:val="00283BD0"/>
    <w:rsid w:val="002A34F1"/>
    <w:rsid w:val="002D3140"/>
    <w:rsid w:val="00391B2C"/>
    <w:rsid w:val="003A5941"/>
    <w:rsid w:val="003C2FBA"/>
    <w:rsid w:val="004A2AB2"/>
    <w:rsid w:val="004D3AA0"/>
    <w:rsid w:val="00523BFC"/>
    <w:rsid w:val="005424F2"/>
    <w:rsid w:val="005A2EB1"/>
    <w:rsid w:val="005C0883"/>
    <w:rsid w:val="005E36F3"/>
    <w:rsid w:val="00656C42"/>
    <w:rsid w:val="006622F2"/>
    <w:rsid w:val="006F1AF3"/>
    <w:rsid w:val="006F731B"/>
    <w:rsid w:val="00762B93"/>
    <w:rsid w:val="007B2E7C"/>
    <w:rsid w:val="007B4ED3"/>
    <w:rsid w:val="007E00D0"/>
    <w:rsid w:val="007E0828"/>
    <w:rsid w:val="007E2763"/>
    <w:rsid w:val="00886540"/>
    <w:rsid w:val="008A1FF4"/>
    <w:rsid w:val="008D333E"/>
    <w:rsid w:val="00946668"/>
    <w:rsid w:val="0096204D"/>
    <w:rsid w:val="00977C32"/>
    <w:rsid w:val="009E5A9F"/>
    <w:rsid w:val="00A21356"/>
    <w:rsid w:val="00A67E1E"/>
    <w:rsid w:val="00B429D5"/>
    <w:rsid w:val="00B701BC"/>
    <w:rsid w:val="00CD46E5"/>
    <w:rsid w:val="00D3134F"/>
    <w:rsid w:val="00D54FB9"/>
    <w:rsid w:val="00D60755"/>
    <w:rsid w:val="00D82E82"/>
    <w:rsid w:val="00DA3735"/>
    <w:rsid w:val="00DF22DF"/>
    <w:rsid w:val="00E12B78"/>
    <w:rsid w:val="00E1471A"/>
    <w:rsid w:val="00E4285B"/>
    <w:rsid w:val="00E46DA7"/>
    <w:rsid w:val="00E94FC5"/>
    <w:rsid w:val="00EE48B2"/>
    <w:rsid w:val="12B242F0"/>
    <w:rsid w:val="2C45338F"/>
    <w:rsid w:val="375C3441"/>
    <w:rsid w:val="7AAE3323"/>
    <w:rsid w:val="7FB57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1040</Words>
  <Characters>5928</Characters>
  <Lines>49</Lines>
  <Paragraphs>13</Paragraphs>
  <TotalTime>0</TotalTime>
  <ScaleCrop>false</ScaleCrop>
  <LinksUpToDate>false</LinksUpToDate>
  <CharactersWithSpaces>6955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2019-12-27T09:09:00Z</dcterms:created>
  <dc:creator>微软用户</dc:creator>
  <cp:lastModifiedBy>伍光华</cp:lastModifiedBy>
  <dcterms:modified xsi:type="dcterms:W3CDTF">2021-12-04T04:10:17Z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87984AB20CAC47229F7CED8B9C6F3E5A</vt:lpwstr>
  </property>
</Properties>
</file>