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江西元一制冷设备集团有限公司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江西省樟树市张家山工业园区1号路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江西省樟树市张家山工业园区1号路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熊玉钧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13907950302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504624993@qq.com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0360-2019-E-2021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rFonts w:hint="eastAsia"/>
                <w:sz w:val="21"/>
                <w:szCs w:val="21"/>
                <w:lang w:val="en-US" w:eastAsia="zh-CN"/>
              </w:rPr>
              <w:t>水晶棺、骨灰盒、骨灰存放架</w:t>
            </w:r>
            <w:r>
              <w:rPr>
                <w:sz w:val="21"/>
                <w:szCs w:val="21"/>
              </w:rPr>
              <w:t>的生产；冷冻柜、瞻仰台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解剖台、火化机、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焚化炉、</w:t>
            </w:r>
            <w:r>
              <w:rPr>
                <w:sz w:val="21"/>
                <w:szCs w:val="21"/>
              </w:rPr>
              <w:t>尾气除尘净化设备、空气净化设备的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sz w:val="21"/>
                <w:szCs w:val="21"/>
              </w:rPr>
              <w:t>相关环境管理活动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17.12.05;18.02.05;23.01.01;29.12.00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b/>
                <w:bCs/>
                <w:spacing w:val="20"/>
                <w:sz w:val="22"/>
                <w:szCs w:val="22"/>
                <w:lang w:val="en-US" w:eastAsia="zh-CN"/>
              </w:rPr>
              <w:t>B</w:t>
            </w:r>
            <w:r>
              <w:rPr>
                <w:rFonts w:hint="eastAsia"/>
                <w:b/>
                <w:bCs/>
                <w:spacing w:val="20"/>
                <w:sz w:val="22"/>
                <w:szCs w:val="22"/>
              </w:rPr>
              <w:t>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2021年12月02日 上午至2021年12月03日 上午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1.5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17.12.05,18.02.01,18.02.05,18.02.06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  <w:r>
        <w:rPr>
          <w:rFonts w:hint="eastAsia" w:ascii="宋体" w:hAnsi="宋体"/>
          <w:b/>
          <w:bCs/>
          <w:sz w:val="30"/>
          <w:szCs w:val="30"/>
        </w:rPr>
        <w:br w:type="textWrapping"/>
      </w:r>
    </w:p>
    <w:tbl>
      <w:tblPr>
        <w:tblStyle w:val="6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812"/>
        <w:gridCol w:w="6427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812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427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default" w:ascii="微软雅黑" w:hAnsi="微软雅黑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21.12.2</w:t>
            </w:r>
          </w:p>
        </w:tc>
        <w:tc>
          <w:tcPr>
            <w:tcW w:w="1812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42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812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427" w:type="dxa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确定管理体系的范围、4.4环境管理体系及其过程、5.1领导作用和承诺、5.2环境方针、5.3组织的岗位、职责和权限、6.1应对风险和机遇的措施、6.2环境目标及其实现的策划、9.3管理评审、10.1改进、10.3持续改进，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63" w:beforeLines="50" w:after="163" w:afterLines="50" w:line="120" w:lineRule="auto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:30～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63" w:beforeLines="50" w:after="163" w:afterLines="50" w:line="120" w:lineRule="auto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:30～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rPr>
                <w:rFonts w:hint="eastAsia" w:ascii="宋体" w:hAnsi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63" w:beforeLines="50" w:after="163" w:afterLines="50" w:line="120" w:lineRule="auto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427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生产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6.1.3合规义务、6.1.4措施的策划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8.1运行策划和控制，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9.1监视、测量、分析和评价（9.1.1总则、9.1.2合规性评价）、10.2不合格和纠正措施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2" w:type="dxa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6427" w:type="dxa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部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2" w:type="dxa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6427" w:type="dxa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部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2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427" w:type="dxa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bCs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u w:val="none"/>
                <w:lang w:val="en-US" w:eastAsia="zh-CN"/>
              </w:rPr>
              <w:t>质检部</w:t>
            </w:r>
          </w:p>
          <w:p>
            <w:pPr>
              <w:adjustRightInd w:val="0"/>
              <w:textAlignment w:val="baseline"/>
              <w:rPr>
                <w:rFonts w:hint="default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21.12.3</w:t>
            </w:r>
          </w:p>
        </w:tc>
        <w:tc>
          <w:tcPr>
            <w:tcW w:w="1812" w:type="dxa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6427" w:type="dxa"/>
          </w:tcPr>
          <w:p>
            <w:pPr>
              <w:adjustRightInd w:val="0"/>
              <w:textAlignment w:val="baseline"/>
              <w:rPr>
                <w:rFonts w:hint="default" w:ascii="宋体" w:hAnsi="宋体"/>
                <w:b/>
                <w:bCs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lang w:val="en-US" w:eastAsia="zh-CN"/>
              </w:rPr>
              <w:t>行政部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5.3组织的岗位、职责和权限、6.1.2环境因素、6.2.1环境目标、6.2.2实现环境目标措施的策划、8.1运行策划和控制、8.2应急准备和响应、9.2 内部审核，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 w:val="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812" w:type="dxa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812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</w:tbl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596DF6"/>
    <w:rsid w:val="3D0F53CA"/>
    <w:rsid w:val="6B2E47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2021-12-11T00:26:22Z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