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14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7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梁文忠</w:t>
            </w:r>
            <w:bookmarkEnd w:id="0"/>
            <w:r>
              <w:rPr>
                <w:rFonts w:hint="eastAsia"/>
                <w:sz w:val="24"/>
                <w:szCs w:val="24"/>
                <w:lang w:val="en-US" w:eastAsia="zh-CN"/>
              </w:rPr>
              <w:t xml:space="preserve"> 赖建龙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2" w:type="dxa"/>
            <w:vMerge w:val="continue"/>
            <w:vAlign w:val="center"/>
          </w:tcPr>
          <w:p/>
        </w:tc>
        <w:tc>
          <w:tcPr>
            <w:tcW w:w="1148"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褚敏杰、</w:t>
            </w:r>
            <w:r>
              <w:rPr>
                <w:rFonts w:hint="eastAsia"/>
                <w:sz w:val="24"/>
                <w:szCs w:val="24"/>
              </w:rPr>
              <w:t>曾德雷</w:t>
            </w:r>
            <w:bookmarkEnd w:id="1"/>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2021年12月13日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72" w:type="dxa"/>
            <w:vMerge w:val="continue"/>
            <w:vAlign w:val="center"/>
          </w:tcPr>
          <w:p/>
        </w:tc>
        <w:tc>
          <w:tcPr>
            <w:tcW w:w="1148"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Q/</w:t>
            </w:r>
            <w:r>
              <w:rPr>
                <w:rFonts w:hint="eastAsia" w:ascii="宋体" w:hAnsi="宋体" w:eastAsia="宋体" w:cs="Arial"/>
                <w:color w:val="auto"/>
                <w:spacing w:val="-6"/>
                <w:sz w:val="21"/>
                <w:szCs w:val="21"/>
              </w:rPr>
              <w:t>E</w:t>
            </w:r>
            <w:r>
              <w:rPr>
                <w:rFonts w:hint="eastAsia" w:ascii="宋体" w:hAnsi="宋体" w:eastAsia="宋体" w:cs="Arial"/>
                <w:color w:val="auto"/>
                <w:spacing w:val="-6"/>
                <w:sz w:val="21"/>
                <w:szCs w:val="21"/>
                <w:lang w:val="en-US" w:eastAsia="zh-CN"/>
              </w:rPr>
              <w:t>/O</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4.4</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6.1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6.2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7.1</w:t>
            </w:r>
            <w:r>
              <w:rPr>
                <w:rFonts w:hint="eastAsia" w:ascii="宋体" w:hAnsi="宋体" w:cs="Arial"/>
                <w:color w:val="auto"/>
                <w:spacing w:val="-6"/>
                <w:sz w:val="21"/>
                <w:szCs w:val="21"/>
                <w:lang w:val="en-US" w:eastAsia="zh-CN"/>
              </w:rPr>
              <w:t>.1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7.4</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10.1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10.3</w:t>
            </w:r>
          </w:p>
          <w:p>
            <w:pPr>
              <w:pStyle w:val="2"/>
              <w:keepNext w:val="0"/>
              <w:keepLines w:val="0"/>
              <w:pageBreakBefore w:val="0"/>
              <w:widowControl w:val="0"/>
              <w:kinsoku/>
              <w:wordWrap/>
              <w:overflowPunct/>
              <w:topLinePunct w:val="0"/>
              <w:autoSpaceDE/>
              <w:autoSpaceDN/>
              <w:bidi w:val="0"/>
              <w:adjustRightInd/>
              <w:spacing w:line="312" w:lineRule="auto"/>
              <w:ind w:left="0" w:leftChars="0" w:firstLine="0" w:firstLineChars="0"/>
              <w:jc w:val="both"/>
              <w:textAlignment w:val="auto"/>
              <w:rPr>
                <w:rFonts w:hint="default"/>
                <w:color w:val="auto"/>
                <w:lang w:val="en-US" w:eastAsia="zh-CN"/>
              </w:rPr>
            </w:pPr>
            <w:r>
              <w:rPr>
                <w:rFonts w:hint="eastAsia" w:ascii="宋体" w:hAnsi="宋体" w:cs="Arial"/>
                <w:color w:val="auto"/>
                <w:spacing w:val="-6"/>
                <w:sz w:val="21"/>
                <w:szCs w:val="21"/>
                <w:lang w:val="en-US" w:eastAsia="zh-CN"/>
              </w:rPr>
              <w:t>Q:6.3、8.3</w:t>
            </w:r>
          </w:p>
          <w:p>
            <w:pPr>
              <w:rPr>
                <w:rFonts w:hint="eastAsia"/>
                <w:sz w:val="24"/>
                <w:szCs w:val="24"/>
              </w:rPr>
            </w:pPr>
            <w:r>
              <w:rPr>
                <w:rFonts w:hint="eastAsia" w:ascii="宋体" w:hAnsi="宋体" w:eastAsia="宋体" w:cs="Arial"/>
                <w:color w:val="auto"/>
                <w:spacing w:val="-6"/>
                <w:sz w:val="21"/>
                <w:szCs w:val="21"/>
              </w:rPr>
              <w:t>O</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江西赣锡工贸有限公司成立于2011年05月06日，</w:t>
            </w:r>
            <w:r>
              <w:rPr>
                <w:rFonts w:hint="eastAsia" w:ascii="宋体" w:hAnsi="宋体" w:cs="Arial"/>
                <w:color w:val="auto"/>
                <w:spacing w:val="-6"/>
                <w:sz w:val="21"/>
                <w:szCs w:val="21"/>
                <w:lang w:val="en-US" w:eastAsia="zh-CN"/>
              </w:rPr>
              <w:t>注册资金五仟万元；占地面积35亩，建筑面积2万平方米；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注册</w:t>
            </w:r>
            <w:r>
              <w:rPr>
                <w:rFonts w:hint="eastAsia" w:ascii="宋体" w:hAnsi="宋体" w:cs="Arial"/>
                <w:color w:val="auto"/>
                <w:spacing w:val="-6"/>
                <w:sz w:val="21"/>
                <w:szCs w:val="21"/>
                <w:lang w:val="en-US" w:eastAsia="zh-CN"/>
              </w:rPr>
              <w:t>地址</w:t>
            </w:r>
            <w:r>
              <w:rPr>
                <w:rFonts w:hint="eastAsia" w:ascii="宋体" w:hAnsi="宋体" w:cs="Arial"/>
                <w:color w:val="auto"/>
                <w:spacing w:val="-6"/>
                <w:sz w:val="21"/>
                <w:szCs w:val="21"/>
                <w:lang w:eastAsia="zh-CN"/>
              </w:rPr>
              <w:t>：</w:t>
            </w:r>
            <w:bookmarkStart w:id="3" w:name="注册地址"/>
            <w:r>
              <w:rPr>
                <w:rFonts w:asciiTheme="minorEastAsia" w:hAnsiTheme="minorEastAsia" w:eastAsiaTheme="minorEastAsia"/>
                <w:sz w:val="20"/>
              </w:rPr>
              <w:t>江西省赣州市章贡区水西钴钼稀有金属产业基地</w:t>
            </w:r>
            <w:bookmarkEnd w:id="3"/>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highlight w:val="none"/>
                <w:lang w:val="en-US" w:eastAsia="zh-CN"/>
              </w:rPr>
            </w:pPr>
            <w:r>
              <w:rPr>
                <w:rFonts w:hint="eastAsia" w:ascii="宋体" w:hAnsi="宋体" w:cs="Arial"/>
                <w:color w:val="auto"/>
                <w:spacing w:val="-6"/>
                <w:sz w:val="21"/>
                <w:szCs w:val="21"/>
                <w:highlight w:val="none"/>
                <w:lang w:val="en-US" w:eastAsia="zh-CN"/>
              </w:rPr>
              <w:t>经营地址：</w:t>
            </w:r>
            <w:r>
              <w:rPr>
                <w:rFonts w:asciiTheme="minorEastAsia" w:hAnsiTheme="minorEastAsia" w:eastAsiaTheme="minorEastAsia"/>
                <w:sz w:val="20"/>
                <w:highlight w:val="none"/>
              </w:rPr>
              <w:t>江西省赣州市章贡区水西钴钼稀有金属产业基地</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营业执照：统一社会信用代码913607025736234245，有效期2019年03月15日—2024年03月14日；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eastAsia="zh-CN"/>
              </w:rPr>
              <w:t>经营范围</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废旧金属回收、加工、销售（凭有效危险废物经营许可证经营）；有色金属材料及制品销售(依法须经批准的项目，经相关部门批准后方可开展经营活动)</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食品经营许可证：许可文件编号JY33607020025826，有效期2019年03月15日—2024年03月14日；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排污许可证：许可文件编号913607025736234245001P，有效期2019年10月23日—2022年10月22日；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 xml:space="preserve">许可内容：允许证内污染物达标排放；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经营范围覆盖了体系认证范围：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00" w:firstLineChars="200"/>
              <w:textAlignment w:val="baseline"/>
              <w:rPr>
                <w:rFonts w:hint="eastAsia"/>
                <w:sz w:val="20"/>
              </w:rPr>
            </w:pPr>
            <w:r>
              <w:rPr>
                <w:rFonts w:hint="eastAsia"/>
                <w:sz w:val="20"/>
              </w:rPr>
              <w:t>Q：废旧金属的回收（需资质许可除外）</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00" w:firstLineChars="200"/>
              <w:textAlignment w:val="baseline"/>
              <w:rPr>
                <w:rFonts w:hint="eastAsia"/>
                <w:sz w:val="20"/>
              </w:rPr>
            </w:pPr>
            <w:r>
              <w:rPr>
                <w:rFonts w:hint="eastAsia"/>
                <w:sz w:val="20"/>
              </w:rPr>
              <w:t>E：废旧金属的回收（需资质许可除外）所涉及场所的相关环境管理活动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00" w:firstLineChars="200"/>
              <w:textAlignment w:val="baseline"/>
              <w:rPr>
                <w:rFonts w:hint="eastAsia"/>
                <w:sz w:val="20"/>
              </w:rPr>
            </w:pPr>
            <w:r>
              <w:rPr>
                <w:rFonts w:hint="eastAsia"/>
                <w:sz w:val="20"/>
              </w:rPr>
              <w:t>O：废旧金属的回收（需资质许可除外）所涉及场所的相关职业健康安全管理活动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00" w:firstLineChars="200"/>
              <w:textAlignment w:val="baseline"/>
              <w:rPr>
                <w:rFonts w:hint="default" w:eastAsia="宋体"/>
                <w:lang w:val="en-US" w:eastAsia="zh-CN"/>
              </w:rPr>
            </w:pPr>
            <w:r>
              <w:rPr>
                <w:rFonts w:hint="eastAsia"/>
                <w:sz w:val="20"/>
                <w:lang w:val="en-US" w:eastAsia="zh-CN"/>
              </w:rPr>
              <w:t>现场确认，审核范围不覆盖企业的废旧金属提炼过程。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公司人员共</w:t>
            </w:r>
            <w:r>
              <w:rPr>
                <w:rFonts w:hint="eastAsia" w:ascii="宋体" w:hAnsi="宋体" w:cs="Arial"/>
                <w:color w:val="auto"/>
                <w:spacing w:val="-6"/>
                <w:sz w:val="21"/>
                <w:szCs w:val="21"/>
                <w:highlight w:val="none"/>
                <w:lang w:val="en-US" w:eastAsia="zh-CN"/>
              </w:rPr>
              <w:t>64</w:t>
            </w:r>
            <w:r>
              <w:rPr>
                <w:rFonts w:hint="eastAsia" w:ascii="宋体" w:hAnsi="宋体" w:eastAsia="宋体" w:cs="Arial"/>
                <w:color w:val="auto"/>
                <w:spacing w:val="-6"/>
                <w:sz w:val="21"/>
                <w:szCs w:val="21"/>
                <w:highlight w:val="none"/>
                <w:lang w:eastAsia="zh-CN"/>
              </w:rPr>
              <w:t>人，</w:t>
            </w:r>
            <w:r>
              <w:rPr>
                <w:rFonts w:hint="eastAsia" w:ascii="宋体" w:hAnsi="宋体" w:cs="Arial"/>
                <w:color w:val="auto"/>
                <w:spacing w:val="-6"/>
                <w:sz w:val="21"/>
                <w:szCs w:val="21"/>
                <w:highlight w:val="none"/>
                <w:lang w:val="en-US" w:eastAsia="zh-CN"/>
              </w:rPr>
              <w:t>建立有员工花名册和员工档案</w:t>
            </w:r>
            <w:r>
              <w:rPr>
                <w:rFonts w:hint="eastAsia" w:ascii="宋体" w:hAnsi="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设备有办公桌、文件柜、复印机、电脑、打印机</w:t>
            </w:r>
            <w:r>
              <w:rPr>
                <w:rFonts w:hint="eastAsia" w:ascii="宋体" w:hAnsi="宋体" w:cs="Arial"/>
                <w:color w:val="auto"/>
                <w:spacing w:val="-6"/>
                <w:sz w:val="21"/>
                <w:szCs w:val="21"/>
                <w:highlight w:val="none"/>
                <w:lang w:eastAsia="zh-CN"/>
              </w:rPr>
              <w:t>、</w:t>
            </w:r>
            <w:r>
              <w:rPr>
                <w:rFonts w:hint="eastAsia" w:ascii="宋体" w:hAnsi="宋体" w:cs="Arial"/>
                <w:color w:val="auto"/>
                <w:spacing w:val="-6"/>
                <w:sz w:val="21"/>
                <w:szCs w:val="21"/>
                <w:highlight w:val="none"/>
                <w:lang w:val="en-US" w:eastAsia="zh-CN"/>
              </w:rPr>
              <w:t>叉车、行车</w:t>
            </w:r>
            <w:r>
              <w:rPr>
                <w:rFonts w:hint="eastAsia" w:ascii="宋体" w:hAnsi="宋体" w:eastAsia="宋体" w:cs="Arial"/>
                <w:color w:val="auto"/>
                <w:spacing w:val="-6"/>
                <w:sz w:val="21"/>
                <w:szCs w:val="21"/>
                <w:highlight w:val="none"/>
                <w:lang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公司组织机构设置为：管理层、行政部、采购部、销售部、质检部；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外部因素——国家政策变化、客户需求的变化、新技术的运用等；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内部因素有-公司文化、内部管理机制的建立、人员稳定性、员工能力等；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公司确定了与质量、环境、职业健康安全管理体系有关的相关方包括顾客/最终消费者、员工、政府、外部供方、竞争对手、社会、相邻单位；</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相关方期望或要求识别表中明确了相关方的需求，以及监视和测量、采取应对措施等要求；</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基本符合。</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val="en-US" w:eastAsia="zh-CN"/>
              </w:rPr>
              <w:t>存在的机遇：公司持续运营多年，积累了良好的信誉和相关方业务关系基础，人员的稳定性和能力，给公司的发展带来了机遇</w:t>
            </w:r>
            <w:r>
              <w:rPr>
                <w:rFonts w:hint="eastAsia" w:ascii="宋体" w:hAnsi="宋体" w:eastAsia="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val="en-US" w:eastAsia="zh-CN"/>
              </w:rPr>
              <w:t>存在的风险：行业进入门槛低导致竞争对手多、国家政策的变化导致更多的业务通过招投标进行面临的低价中标等</w:t>
            </w:r>
            <w:r>
              <w:rPr>
                <w:rFonts w:hint="eastAsia" w:ascii="宋体" w:hAnsi="宋体" w:eastAsia="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编制有《风险和机遇的应对控制程序》，对组织内外的风险和机遇进行了策划。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重要环境因素：</w:t>
            </w:r>
            <w:r>
              <w:rPr>
                <w:rFonts w:hint="eastAsia" w:ascii="宋体" w:hAnsi="宋体" w:eastAsia="宋体" w:cs="Arial"/>
                <w:color w:val="auto"/>
                <w:spacing w:val="-6"/>
                <w:sz w:val="21"/>
                <w:szCs w:val="21"/>
                <w:highlight w:val="none"/>
                <w:lang w:eastAsia="zh-CN"/>
              </w:rPr>
              <w:t>固废、潜在火灾</w:t>
            </w:r>
            <w:r>
              <w:rPr>
                <w:rFonts w:hint="eastAsia" w:ascii="宋体" w:hAnsi="宋体" w:eastAsia="宋体" w:cs="Arial"/>
                <w:color w:val="auto"/>
                <w:spacing w:val="-6"/>
                <w:sz w:val="21"/>
                <w:szCs w:val="21"/>
                <w:highlight w:val="none"/>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控制措施：一般固废集中收集外售至废品回收站；</w:t>
            </w:r>
            <w:r>
              <w:rPr>
                <w:rFonts w:hint="eastAsia" w:ascii="宋体" w:hAnsi="宋体" w:eastAsia="宋体" w:cs="Arial"/>
                <w:color w:val="auto"/>
                <w:spacing w:val="-6"/>
                <w:sz w:val="21"/>
                <w:szCs w:val="21"/>
                <w:highlight w:val="none"/>
                <w:lang w:val="en-US" w:eastAsia="zh-CN"/>
              </w:rPr>
              <w:t>节约资源；</w:t>
            </w:r>
            <w:r>
              <w:rPr>
                <w:rFonts w:hint="eastAsia" w:ascii="宋体" w:hAnsi="宋体" w:eastAsia="宋体" w:cs="Arial"/>
                <w:color w:val="auto"/>
                <w:spacing w:val="-6"/>
                <w:sz w:val="21"/>
                <w:szCs w:val="21"/>
                <w:highlight w:val="none"/>
                <w:lang w:eastAsia="zh-CN"/>
              </w:rPr>
              <w:t>提高安全意识，做好火灾预防措施。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一旦发生按相关应急预案执行；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制定目标、指标和管理方案。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不可接受风险：触电、火灾、交通意外伤害；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控制措施：制定目标、指标和管理方案；提高交通安全意识；</w:t>
            </w:r>
            <w:r>
              <w:rPr>
                <w:rFonts w:hint="eastAsia" w:ascii="宋体" w:hAnsi="宋体" w:eastAsia="宋体" w:cs="Arial"/>
                <w:color w:val="auto"/>
                <w:spacing w:val="-6"/>
                <w:sz w:val="21"/>
                <w:szCs w:val="21"/>
                <w:highlight w:val="none"/>
                <w:lang w:val="en-US" w:eastAsia="zh-CN"/>
              </w:rPr>
              <w:t>安全用电，</w:t>
            </w:r>
            <w:r>
              <w:rPr>
                <w:rFonts w:hint="eastAsia" w:ascii="宋体" w:hAnsi="宋体" w:eastAsia="宋体" w:cs="Arial"/>
                <w:color w:val="auto"/>
                <w:spacing w:val="-6"/>
                <w:sz w:val="21"/>
                <w:szCs w:val="21"/>
                <w:highlight w:val="none"/>
                <w:lang w:eastAsia="zh-CN"/>
              </w:rPr>
              <w:t>做好火灾预防措施。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一旦发生按相关应急预案执行。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lang w:val="en-US" w:eastAsia="zh-CN"/>
              </w:rPr>
              <w:t>为应对上述的风险和机遇，公司依据ISO9001：2015、ISO14001：2015、ISO45001：2018标准的要求并结合本公</w:t>
            </w:r>
            <w:r>
              <w:rPr>
                <w:rFonts w:hint="eastAsia" w:ascii="宋体" w:hAnsi="宋体" w:eastAsia="宋体" w:cs="Arial"/>
                <w:color w:val="auto"/>
                <w:spacing w:val="-6"/>
                <w:sz w:val="21"/>
                <w:szCs w:val="21"/>
                <w:highlight w:val="none"/>
                <w:lang w:val="en-US" w:eastAsia="zh-CN"/>
              </w:rPr>
              <w:t>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保持《管理手册》——A/0版，于2020年06月05日实施，目前版本未发生变更。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程序文件——A/0版，于2020年06月05日实施，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建立有外来文件清单，收集中华人民共和国产品质量法</w:t>
            </w:r>
            <w:r>
              <w:rPr>
                <w:rFonts w:hint="eastAsia" w:ascii="宋体" w:hAnsi="宋体" w:cs="Arial"/>
                <w:color w:val="auto"/>
                <w:spacing w:val="-6"/>
                <w:sz w:val="21"/>
                <w:szCs w:val="21"/>
                <w:highlight w:val="none"/>
                <w:lang w:val="en-US" w:eastAsia="zh-CN"/>
              </w:rPr>
              <w:t>、</w:t>
            </w:r>
            <w:r>
              <w:rPr>
                <w:rFonts w:hint="eastAsia" w:ascii="宋体" w:hAnsi="宋体" w:eastAsia="宋体" w:cs="Arial"/>
                <w:color w:val="auto"/>
                <w:spacing w:val="-6"/>
                <w:sz w:val="21"/>
                <w:szCs w:val="21"/>
                <w:highlight w:val="none"/>
                <w:lang w:val="en-US" w:eastAsia="zh-CN"/>
              </w:rPr>
              <w:t>中华人民共和国安全生产法</w:t>
            </w:r>
            <w:r>
              <w:rPr>
                <w:rFonts w:hint="eastAsia" w:ascii="宋体" w:hAnsi="宋体" w:cs="Arial"/>
                <w:color w:val="auto"/>
                <w:spacing w:val="-6"/>
                <w:sz w:val="21"/>
                <w:szCs w:val="21"/>
                <w:highlight w:val="none"/>
                <w:lang w:val="en-US" w:eastAsia="zh-CN"/>
              </w:rPr>
              <w:t>、</w:t>
            </w:r>
            <w:r>
              <w:rPr>
                <w:rFonts w:hint="eastAsia" w:ascii="宋体" w:hAnsi="宋体" w:eastAsia="宋体" w:cs="Arial"/>
                <w:color w:val="auto"/>
                <w:spacing w:val="-6"/>
                <w:sz w:val="21"/>
                <w:szCs w:val="21"/>
                <w:highlight w:val="none"/>
                <w:lang w:val="en-US" w:eastAsia="zh-CN"/>
              </w:rPr>
              <w:t>中华人民共和国环境保护法</w:t>
            </w:r>
            <w:r>
              <w:rPr>
                <w:rFonts w:hint="eastAsia" w:ascii="宋体" w:hAnsi="宋体" w:cs="Arial"/>
                <w:color w:val="auto"/>
                <w:spacing w:val="-6"/>
                <w:sz w:val="21"/>
                <w:szCs w:val="21"/>
                <w:highlight w:val="none"/>
                <w:lang w:val="en-US" w:eastAsia="zh-CN"/>
              </w:rPr>
              <w:t>、</w:t>
            </w:r>
            <w:r>
              <w:rPr>
                <w:rFonts w:hint="eastAsia" w:ascii="宋体" w:hAnsi="宋体" w:eastAsia="宋体" w:cs="Arial"/>
                <w:color w:val="auto"/>
                <w:spacing w:val="-6"/>
                <w:sz w:val="21"/>
                <w:szCs w:val="21"/>
                <w:highlight w:val="none"/>
                <w:lang w:val="en-US" w:eastAsia="zh-CN"/>
              </w:rPr>
              <w:t>中华人民共和国消防法</w:t>
            </w:r>
            <w:r>
              <w:rPr>
                <w:rFonts w:hint="eastAsia" w:ascii="宋体" w:hAnsi="宋体" w:cs="Arial"/>
                <w:color w:val="auto"/>
                <w:spacing w:val="-6"/>
                <w:sz w:val="21"/>
                <w:szCs w:val="21"/>
                <w:highlight w:val="none"/>
                <w:lang w:val="en-US" w:eastAsia="zh-CN"/>
              </w:rPr>
              <w:t>、</w:t>
            </w:r>
            <w:r>
              <w:rPr>
                <w:rFonts w:hint="eastAsia" w:ascii="宋体" w:hAnsi="宋体" w:eastAsia="宋体" w:cs="Arial"/>
                <w:color w:val="auto"/>
                <w:spacing w:val="-6"/>
                <w:sz w:val="21"/>
                <w:szCs w:val="21"/>
                <w:highlight w:val="none"/>
                <w:lang w:val="en-US" w:eastAsia="zh-CN"/>
              </w:rPr>
              <w:t>锡锭GB/T 728-2010等；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建立环境、职业健康安全法律法规和其他要求清单，共9</w:t>
            </w:r>
            <w:r>
              <w:rPr>
                <w:rFonts w:hint="eastAsia" w:ascii="宋体" w:hAnsi="宋体" w:cs="Arial"/>
                <w:color w:val="auto"/>
                <w:spacing w:val="-6"/>
                <w:sz w:val="21"/>
                <w:szCs w:val="21"/>
                <w:highlight w:val="none"/>
                <w:lang w:val="en-US" w:eastAsia="zh-CN"/>
              </w:rPr>
              <w:t>7</w:t>
            </w:r>
            <w:r>
              <w:rPr>
                <w:rFonts w:hint="eastAsia" w:ascii="宋体" w:hAnsi="宋体" w:eastAsia="宋体" w:cs="Arial"/>
                <w:color w:val="auto"/>
                <w:spacing w:val="-6"/>
                <w:sz w:val="21"/>
                <w:szCs w:val="21"/>
                <w:highlight w:val="none"/>
                <w:lang w:val="en-US" w:eastAsia="zh-CN"/>
              </w:rPr>
              <w:t>个，包括了对相关方施加影响的法规；</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本公司识别并确定了过程：采购过程、销售过程、检验与交付过程、绩效分析、评价与改进等多个过程。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废旧金属的回收（需资质许可除外）→检验→入库→销售出货</w:t>
            </w:r>
            <w:r>
              <w:rPr>
                <w:rFonts w:hint="eastAsia" w:ascii="宋体" w:hAnsi="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lang w:val="en-US" w:eastAsia="zh-CN"/>
              </w:rPr>
            </w:pPr>
            <w:r>
              <w:rPr>
                <w:rFonts w:hint="eastAsia" w:ascii="宋体" w:hAnsi="宋体" w:cs="Arial"/>
                <w:color w:val="auto"/>
                <w:spacing w:val="-6"/>
                <w:sz w:val="21"/>
                <w:szCs w:val="21"/>
                <w:lang w:val="en-US" w:eastAsia="zh-CN"/>
              </w:rPr>
              <w:t>关键过程：回收、检验；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没有需确认的过程。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管理手册中</w:t>
            </w:r>
            <w:r>
              <w:rPr>
                <w:rFonts w:hint="eastAsia" w:ascii="宋体" w:hAnsi="宋体" w:eastAsia="宋体" w:cs="Arial"/>
                <w:color w:val="auto"/>
                <w:spacing w:val="-6"/>
                <w:sz w:val="21"/>
                <w:szCs w:val="21"/>
                <w:lang w:val="en-US" w:eastAsia="zh-CN"/>
              </w:rPr>
              <w:t>确定</w:t>
            </w:r>
            <w:r>
              <w:rPr>
                <w:rFonts w:hint="eastAsia" w:ascii="宋体" w:hAnsi="宋体" w:eastAsia="宋体" w:cs="Arial"/>
                <w:color w:val="auto"/>
                <w:spacing w:val="-6"/>
                <w:sz w:val="21"/>
                <w:szCs w:val="21"/>
                <w:lang w:eastAsia="zh-CN"/>
              </w:rPr>
              <w:t>的认证范围：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Q：废旧金属的回收（需资质许可除外）</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E：废旧金属的回收（需资质许可除外）所涉及场所的相关环境管理活动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O：废旧金属的回收（需资质许可除外）所涉及场所的相关职业健康安全管理活动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8.3条款删减。公司废旧金属的回收及其所涉及的相关管理活动均参照国家、行业标准及客户给出的产品参数要求、图纸、样板等技术资料、参考国家标准转换为公司内部生产工艺，组织产品的生产，不需要进行设计开发，其不适用的要求不影响组织确保其产品和服务合格的能力和责任，对增强顾客满意也不会产生影响;</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删减基本合理。</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《管理手册》中明确了公司的质量、环境、职业健康安全方针是：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1.质量环境职业健康安全方针：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质量至上、持续创新、诚实守信、顾客至上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方针适宜于公司现状，在管理手册中明确，通过文件发放，是员工获知，适用时提供给相关方。</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产品出厂合格率100%；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顾客满意度95分以上；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环保安全目标：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固体废弃物分类管理，处理率为100%；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重大火灾事故为0；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触电事故为0；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员工重大责任伤亡率为0；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制定有目标完成计划，策划了采取措施、需要的资源、负责人、完成时间、如何评价结果等内容；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szCs w:val="22"/>
                <w:highlight w:val="none"/>
                <w:lang w:val="en-US" w:eastAsia="zh-CN"/>
              </w:rPr>
              <w:t>抽见2021年6月、10月目标分解考核表，考核目标均已全部完成。</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w:t>
            </w:r>
            <w:r>
              <w:rPr>
                <w:rFonts w:hint="eastAsia" w:ascii="宋体" w:hAnsi="宋体" w:cs="Arial"/>
                <w:color w:val="auto"/>
                <w:spacing w:val="-6"/>
                <w:sz w:val="21"/>
                <w:szCs w:val="21"/>
                <w:lang w:val="en-US" w:eastAsia="zh-CN"/>
              </w:rPr>
              <w:t>公司</w:t>
            </w:r>
            <w:r>
              <w:rPr>
                <w:rFonts w:hint="eastAsia" w:ascii="宋体" w:hAnsi="宋体" w:cs="Arial"/>
                <w:color w:val="auto"/>
                <w:spacing w:val="-6"/>
                <w:sz w:val="21"/>
                <w:szCs w:val="21"/>
              </w:rPr>
              <w:t>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确保在策划和实施管理体系变更时保持其完整性。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公司组织机构设置为：管理层、行政部、采购部、销售部、质检部；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注册资金五仟万元；占地面积35亩，建筑面积2万平方米；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公司人员共</w:t>
            </w:r>
            <w:r>
              <w:rPr>
                <w:rFonts w:hint="eastAsia" w:ascii="宋体" w:hAnsi="宋体" w:cs="Arial"/>
                <w:color w:val="auto"/>
                <w:spacing w:val="-6"/>
                <w:sz w:val="21"/>
                <w:szCs w:val="21"/>
                <w:highlight w:val="none"/>
                <w:lang w:val="en-US" w:eastAsia="zh-CN"/>
              </w:rPr>
              <w:t>64</w:t>
            </w:r>
            <w:r>
              <w:rPr>
                <w:rFonts w:hint="eastAsia" w:ascii="宋体" w:hAnsi="宋体" w:eastAsia="宋体" w:cs="Arial"/>
                <w:color w:val="auto"/>
                <w:spacing w:val="-6"/>
                <w:sz w:val="21"/>
                <w:szCs w:val="21"/>
                <w:highlight w:val="none"/>
                <w:lang w:eastAsia="zh-CN"/>
              </w:rPr>
              <w:t>人，</w:t>
            </w:r>
            <w:r>
              <w:rPr>
                <w:rFonts w:hint="eastAsia" w:ascii="宋体" w:hAnsi="宋体" w:cs="Arial"/>
                <w:color w:val="auto"/>
                <w:spacing w:val="-6"/>
                <w:sz w:val="21"/>
                <w:szCs w:val="21"/>
                <w:highlight w:val="none"/>
                <w:lang w:val="en-US" w:eastAsia="zh-CN"/>
              </w:rPr>
              <w:t>管理层、采购、销售、质检、办公人员等</w:t>
            </w:r>
            <w:r>
              <w:rPr>
                <w:rFonts w:hint="eastAsia" w:ascii="宋体" w:hAnsi="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办公设备有办公桌、文件柜、复印机、电脑、打印机等。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环保安全设施设备主要有：消防设备、除尘设备、垃圾桶等；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2021年安环投入费用</w:t>
            </w:r>
            <w:bookmarkStart w:id="4" w:name="_GoBack"/>
            <w:r>
              <w:rPr>
                <w:rFonts w:hint="eastAsia" w:ascii="宋体" w:hAnsi="宋体" w:cs="Arial"/>
                <w:color w:val="auto"/>
                <w:spacing w:val="-6"/>
                <w:sz w:val="21"/>
                <w:szCs w:val="21"/>
                <w:highlight w:val="none"/>
                <w:lang w:val="en-US" w:eastAsia="zh-CN"/>
              </w:rPr>
              <w:t>330万元</w:t>
            </w:r>
            <w:bookmarkEnd w:id="4"/>
            <w:r>
              <w:rPr>
                <w:rFonts w:hint="eastAsia" w:ascii="宋体" w:hAnsi="宋体" w:cs="Arial"/>
                <w:color w:val="auto"/>
                <w:spacing w:val="-6"/>
                <w:sz w:val="21"/>
                <w:szCs w:val="21"/>
                <w:highlight w:val="none"/>
                <w:lang w:val="en-US" w:eastAsia="zh-CN"/>
              </w:rPr>
              <w:t>，</w:t>
            </w:r>
            <w:r>
              <w:rPr>
                <w:rFonts w:hint="eastAsia" w:ascii="宋体" w:hAnsi="宋体" w:cs="Arial"/>
                <w:color w:val="auto"/>
                <w:spacing w:val="-6"/>
                <w:sz w:val="21"/>
                <w:szCs w:val="21"/>
                <w:highlight w:val="none"/>
                <w:lang w:val="en-US" w:eastAsia="zh-CN"/>
              </w:rPr>
              <w:t>主要用于员工保险、安全教育培训、环保投入、消防设备、劳保用品等；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lang w:val="en-US" w:eastAsia="zh-CN" w:bidi="ar-SA"/>
              </w:rPr>
            </w:pPr>
            <w:r>
              <w:rPr>
                <w:rFonts w:hint="default" w:ascii="宋体" w:hAnsi="宋体" w:cs="Arial"/>
                <w:color w:val="auto"/>
                <w:spacing w:val="-6"/>
                <w:sz w:val="21"/>
                <w:szCs w:val="21"/>
                <w:lang w:val="en-US" w:eastAsia="zh-CN"/>
              </w:rPr>
              <w:t>基本能满足体系运行的要求。</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信息交流</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组织在各部门之间建立了与体系有关的信息通渠沟道，借助于会议、电话、微信、网络、信息系统、口头交流等方式使全体员工达到沟通和理解。目前各部门协调一致，工作上的接口基本理顺。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总经理主持经营例会，分析公司的发展、市场情况和体系运行是否有效，管理目标完成情况，满足顾客要求和法规程度，改进建议等内部管理存在问题等。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00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2021年10月22日在公司会议室由</w:t>
            </w:r>
            <w:r>
              <w:rPr>
                <w:rFonts w:hint="eastAsia" w:ascii="宋体" w:hAnsi="宋体" w:cs="Arial"/>
                <w:color w:val="auto"/>
                <w:spacing w:val="-6"/>
                <w:sz w:val="21"/>
                <w:szCs w:val="21"/>
                <w:highlight w:val="none"/>
                <w:lang w:val="en-US" w:eastAsia="zh-CN"/>
              </w:rPr>
              <w:t>邱鸡福</w:t>
            </w:r>
            <w:r>
              <w:rPr>
                <w:rFonts w:hint="eastAsia" w:ascii="宋体" w:hAnsi="宋体" w:eastAsia="宋体" w:cs="Arial"/>
                <w:color w:val="auto"/>
                <w:spacing w:val="-6"/>
                <w:sz w:val="21"/>
                <w:szCs w:val="21"/>
                <w:highlight w:val="none"/>
                <w:lang w:val="en-US" w:eastAsia="zh-CN"/>
              </w:rPr>
              <w:t>总经理主持召开管理评审会议；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保留管理评审计划、管理评审报告、管理评审会议纪要、签到表等；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管理评审输入未体现对上次管理评审整改措施的跟踪，交流；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管理评审结论：公司管理体系的建立和运行是充分的、适宜的、有效的。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1）加强对风险管控知识的学习。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2）节能降耗，减少生产车间和办公区域资源能源和办公器材消耗量。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保留“管理评审改进措施计划”。</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97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14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w:t>
            </w:r>
            <w:r>
              <w:rPr>
                <w:rFonts w:hint="eastAsia" w:ascii="宋体" w:hAnsi="宋体" w:cs="Arial"/>
                <w:color w:val="auto"/>
                <w:spacing w:val="-6"/>
                <w:sz w:val="21"/>
                <w:szCs w:val="21"/>
                <w:highlight w:val="none"/>
                <w:lang w:val="en-US" w:eastAsia="zh-CN"/>
              </w:rPr>
              <w:t>办公室</w:t>
            </w:r>
            <w:r>
              <w:rPr>
                <w:rFonts w:hint="eastAsia" w:ascii="宋体" w:hAnsi="宋体" w:eastAsia="宋体" w:cs="Arial"/>
                <w:color w:val="auto"/>
                <w:spacing w:val="-6"/>
                <w:sz w:val="21"/>
                <w:szCs w:val="21"/>
                <w:highlight w:val="none"/>
                <w:lang w:val="en-US" w:eastAsia="zh-CN"/>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72" w:type="dxa"/>
          </w:tcPr>
          <w:p>
            <w:pPr>
              <w:pStyle w:val="2"/>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pPr>
            <w:r>
              <w:rPr>
                <w:rFonts w:hint="eastAsia" w:ascii="宋体" w:hAnsi="宋体" w:eastAsia="宋体" w:cs="Arial"/>
                <w:color w:val="auto"/>
                <w:spacing w:val="-6"/>
                <w:sz w:val="21"/>
                <w:szCs w:val="21"/>
              </w:rPr>
              <w:t>协商与参与</w:t>
            </w:r>
          </w:p>
        </w:tc>
        <w:tc>
          <w:tcPr>
            <w:tcW w:w="1148" w:type="dxa"/>
          </w:tcPr>
          <w:p>
            <w:r>
              <w:rPr>
                <w:rFonts w:hint="eastAsia" w:ascii="宋体" w:hAnsi="宋体" w:eastAsia="宋体" w:cs="Arial"/>
                <w:color w:val="auto"/>
                <w:spacing w:val="-6"/>
                <w:sz w:val="21"/>
                <w:szCs w:val="21"/>
              </w:rPr>
              <w:t>O</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5.4</w:t>
            </w:r>
          </w:p>
        </w:tc>
        <w:tc>
          <w:tcPr>
            <w:tcW w:w="10004" w:type="dxa"/>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公司经选举确定职业健康安全事务代表是赖建龙，</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a）负责员工职业健康安全日常工作；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b）负责召开讨论有关工资、福利、劳动安全卫生、社会保险等涉及职工切身利益的会议，代表员工反映员工的建议和意见；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c）接收、处理外部职业健康安全信息；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d）交流各级职能部门间产生的职业健康安全信息；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e）收集、处理和反馈员工所关心的职业健康安全问题；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f）参与职业健康安全工作方针和程序的制定、评审和实施；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g）参与影响作业场所人员职业健康安全的任何变化的讨论。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介绍说，公司主要的职业健康安全风险是：触电、火灾事故、交通意外伤害；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成立安全领导小组，明确全员安全职责且根据人员变动情况及时调整；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每年与各级员工层层签订责任状，落实安全责任和管理目标；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定期召开安全例会和季度例会；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制定安全培训计划，定期开展安全学习和教育，保持学习记录和人员签到表；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按规定计提安全生产经费，并建立使用台账；</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主要负责人、安全管理人员持安全培训证书；</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进行安全检查和工艺纪律检查，开展隐患排查和治理；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落实本单位安全生产整改措施</w:t>
            </w:r>
            <w:r>
              <w:rPr>
                <w:rFonts w:hint="eastAsia" w:ascii="宋体" w:hAnsi="宋体" w:eastAsia="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lang w:val="en-US" w:eastAsia="zh-CN"/>
              </w:rPr>
            </w:pPr>
            <w:r>
              <w:rPr>
                <w:rFonts w:hint="eastAsia" w:ascii="宋体" w:hAnsi="宋体" w:eastAsia="宋体" w:cs="Arial"/>
                <w:color w:val="auto"/>
                <w:spacing w:val="-6"/>
                <w:sz w:val="21"/>
                <w:szCs w:val="21"/>
                <w:lang w:val="en-US" w:eastAsia="zh-CN"/>
              </w:rPr>
              <w:t>开展安全生产月活动。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14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未发生重大质量</w:t>
            </w:r>
            <w:r>
              <w:rPr>
                <w:rFonts w:hint="eastAsia" w:ascii="宋体" w:hAnsi="宋体" w:cs="Arial"/>
                <w:spacing w:val="-6"/>
                <w:sz w:val="21"/>
                <w:szCs w:val="21"/>
                <w:lang w:val="en-US" w:eastAsia="zh-CN"/>
              </w:rPr>
              <w:t>、环境</w:t>
            </w:r>
            <w:r>
              <w:rPr>
                <w:rFonts w:hint="eastAsia" w:ascii="宋体" w:hAnsi="宋体" w:eastAsia="宋体" w:cs="Arial"/>
                <w:spacing w:val="-6"/>
                <w:sz w:val="21"/>
                <w:szCs w:val="21"/>
                <w:lang w:val="en-US" w:eastAsia="zh-CN"/>
              </w:rPr>
              <w:t>、安全事故</w:t>
            </w:r>
            <w:r>
              <w:rPr>
                <w:rFonts w:hint="eastAsia" w:ascii="宋体" w:hAnsi="宋体" w:cs="Arial"/>
                <w:spacing w:val="-6"/>
                <w:sz w:val="21"/>
                <w:szCs w:val="21"/>
                <w:lang w:val="en-US" w:eastAsia="zh-CN"/>
              </w:rPr>
              <w:t>，能遵</w:t>
            </w:r>
            <w:r>
              <w:rPr>
                <w:rFonts w:hint="eastAsia" w:ascii="宋体" w:hAnsi="宋体" w:eastAsia="宋体" w:cs="Arial"/>
                <w:spacing w:val="-6"/>
                <w:sz w:val="21"/>
                <w:szCs w:val="21"/>
                <w:lang w:val="en-US" w:eastAsia="zh-CN"/>
              </w:rPr>
              <w:t>守法律法规要求。</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上次审核不符合项的验证</w:t>
            </w:r>
          </w:p>
        </w:tc>
        <w:tc>
          <w:tcPr>
            <w:tcW w:w="114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color w:val="auto"/>
                <w:spacing w:val="-6"/>
                <w:sz w:val="21"/>
                <w:szCs w:val="21"/>
                <w:highlight w:val="none"/>
                <w:lang w:val="en-US" w:eastAsia="zh-CN"/>
              </w:rPr>
              <w:t>上次审核时发现的问题，经此次审核现场验证已关闭，整改措施有效。</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114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标志未应用在产品上；投标等情况使用认证证书。</w:t>
            </w:r>
          </w:p>
        </w:tc>
        <w:tc>
          <w:tcPr>
            <w:tcW w:w="1585"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0" w:type="auto"/>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本周期</w:t>
            </w:r>
            <w:r>
              <w:rPr>
                <w:rFonts w:hint="eastAsia" w:ascii="宋体" w:hAnsi="宋体" w:eastAsia="宋体" w:cs="Arial"/>
                <w:spacing w:val="-6"/>
                <w:sz w:val="21"/>
                <w:szCs w:val="21"/>
                <w:highlight w:val="none"/>
                <w:lang w:val="en-US" w:eastAsia="zh-CN"/>
              </w:rPr>
              <w:t>以来，未发生相关方的投诉</w:t>
            </w:r>
            <w:r>
              <w:rPr>
                <w:rFonts w:hint="eastAsia" w:ascii="宋体" w:hAnsi="宋体" w:cs="Arial"/>
                <w:spacing w:val="-6"/>
                <w:sz w:val="21"/>
                <w:szCs w:val="21"/>
                <w:highlight w:val="none"/>
                <w:lang w:val="en-US" w:eastAsia="zh-CN"/>
              </w:rPr>
              <w:t>；</w:t>
            </w:r>
            <w:r>
              <w:rPr>
                <w:rFonts w:hint="eastAsia" w:ascii="宋体" w:hAnsi="宋体" w:eastAsia="宋体" w:cs="Arial"/>
                <w:spacing w:val="-6"/>
                <w:sz w:val="21"/>
                <w:szCs w:val="21"/>
                <w:highlight w:val="none"/>
                <w:lang w:val="en-US" w:eastAsia="zh-CN"/>
              </w:rPr>
              <w:t>暂时没有国家/地方抽查情况</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Arial"/>
                <w:spacing w:val="-6"/>
                <w:kern w:val="2"/>
                <w:sz w:val="21"/>
                <w:szCs w:val="21"/>
                <w:lang w:val="en-US" w:eastAsia="zh-CN" w:bidi="ar-SA"/>
              </w:rPr>
            </w:pPr>
            <w:r>
              <w:rPr>
                <w:rFonts w:hint="eastAsia"/>
                <w:highlight w:val="none"/>
                <w:lang w:val="en-US" w:eastAsia="zh-CN"/>
              </w:rPr>
              <w:t>受到的</w:t>
            </w:r>
            <w:r>
              <w:rPr>
                <w:rFonts w:hint="eastAsia" w:ascii="宋体" w:hAnsi="宋体" w:eastAsia="宋体" w:cs="Arial"/>
                <w:spacing w:val="-6"/>
                <w:sz w:val="21"/>
                <w:szCs w:val="21"/>
                <w:highlight w:val="none"/>
                <w:lang w:val="en-US" w:eastAsia="zh-CN"/>
              </w:rPr>
              <w:t>相关行政主管部门的检查处罚，</w:t>
            </w:r>
            <w:r>
              <w:rPr>
                <w:rFonts w:hint="eastAsia" w:ascii="宋体" w:hAnsi="宋体" w:cs="Arial"/>
                <w:spacing w:val="-6"/>
                <w:sz w:val="21"/>
                <w:szCs w:val="21"/>
                <w:highlight w:val="none"/>
                <w:lang w:val="en-US" w:eastAsia="zh-CN"/>
              </w:rPr>
              <w:t>能及时进行整改</w:t>
            </w:r>
            <w:r>
              <w:rPr>
                <w:rFonts w:hint="eastAsia" w:ascii="宋体" w:hAnsi="宋体" w:eastAsia="宋体" w:cs="Arial"/>
                <w:spacing w:val="-6"/>
                <w:sz w:val="21"/>
                <w:szCs w:val="21"/>
                <w:highlight w:val="none"/>
                <w:lang w:val="en-US" w:eastAsia="zh-CN"/>
              </w:rPr>
              <w:t>。</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F040F"/>
    <w:rsid w:val="510C223C"/>
    <w:rsid w:val="6BF02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12</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2021-12-14T07:29:54Z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772A7357A0AC4A78B4F34467BB526694</vt:lpwstr>
  </property>
  <property fmtid="{D5CDD505-2E9C-101B-9397-08002B2CF9AE}" pid="3" name="KSOProductBuildVer">
    <vt:lpwstr>2052-11.1.0.11115</vt:lpwstr>
  </property>
</Properties>
</file>