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276"/>
        <w:gridCol w:w="662"/>
        <w:gridCol w:w="634"/>
        <w:gridCol w:w="384"/>
        <w:gridCol w:w="294"/>
        <w:gridCol w:w="680"/>
        <w:gridCol w:w="114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江西赣锡工贸有限公司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江西省赣州市章贡区水西钴钼稀有金属产业基地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江西省赣州市章贡区水西钴钼稀有金属产业基地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梁文忠</w:t>
            </w:r>
            <w:bookmarkEnd w:id="3"/>
            <w:bookmarkStart w:id="32" w:name="_GoBack"/>
            <w:bookmarkEnd w:id="32"/>
          </w:p>
        </w:tc>
        <w:tc>
          <w:tcPr>
            <w:tcW w:w="136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13319491631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36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80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0538-2020-QEO-2021</w:t>
            </w:r>
            <w:bookmarkEnd w:id="8"/>
          </w:p>
        </w:tc>
        <w:tc>
          <w:tcPr>
            <w:tcW w:w="136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Q：废旧金属的回收（需资质许可除外）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E：废旧金属的回收（需资质许可除外）所涉及场所的相关环境管理活动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O：废旧金属的回收（需资质许可除外）所涉及场所的相关职业健康安全管理活动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O：24.01.02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2021年12月13日 上午至2021年12月14日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3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曾德雷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马鞍山市伟泰锡业有限公司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E:24.01.02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O:24.01.02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18970117046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3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vAlign w:val="center"/>
          </w:tcPr>
          <w:p/>
        </w:tc>
        <w:tc>
          <w:tcPr>
            <w:tcW w:w="133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Align w:val="center"/>
          </w:tcPr>
          <w:p/>
        </w:tc>
        <w:tc>
          <w:tcPr>
            <w:tcW w:w="1472" w:type="dxa"/>
            <w:gridSpan w:val="4"/>
            <w:vAlign w:val="center"/>
          </w:tcPr>
          <w:p/>
        </w:tc>
        <w:tc>
          <w:tcPr>
            <w:tcW w:w="133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0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0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2021.12.10</w:t>
            </w:r>
          </w:p>
        </w:tc>
        <w:tc>
          <w:tcPr>
            <w:tcW w:w="21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2021.12.13</w:t>
            </w:r>
          </w:p>
        </w:tc>
      </w:tr>
    </w:tbl>
    <w:p>
      <w:r>
        <w:br w:type="page"/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75"/>
        <w:gridCol w:w="1186"/>
        <w:gridCol w:w="3314"/>
        <w:gridCol w:w="2193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0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0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12.13</w:t>
            </w:r>
          </w:p>
        </w:tc>
        <w:tc>
          <w:tcPr>
            <w:tcW w:w="9519" w:type="dxa"/>
            <w:gridSpan w:val="5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09:00-09:30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管理层、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安全事务代表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理解组织及其环境、理解相关方的需求和期望、确定管理体系的范围、管理体系及其过程、应对风险和机遇的措施、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领导作用、管理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方针、目标及其实现的策划、组织的岗位、职责和权限、资源、沟通/信息交流、管理评审、改进、持续改进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体系变更、删减确认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协商与参与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  <w:t>C审核划线部分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</w:rPr>
              <w:t>对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</w:rPr>
              <w:t>问题整改情况的确认；事故事件及起处理情况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</w:rPr>
              <w:t>环境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</w:rPr>
              <w:t>安全监测情况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  <w:t>证书标志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</w:rPr>
              <w:t>使用情况等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Q/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7.1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10.3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Q:6.3、8.3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10:00-17:30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 w:rightChars="0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及控制的策划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、环境因素/危险源的识别与评价、措施的策划、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人员、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能力、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成文信息、组织的知识、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应急准备和响应、内部审核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改进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6.2、7.1.2、7.1.6、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7.5、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7.5、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质检部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/>
              <w:jc w:val="both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组织的岗位、职责和权限、目标、环境因素/危险源的识别与评价、措施的策划、运行策划和控制、应急准备和响应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监测装置、放行、不合格品控制、分析与评价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Q:5.3、6.2、7.1.5、8.6、8.7、9.1.3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12：00-12:30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第一天结束（8h）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12.14</w:t>
            </w:r>
          </w:p>
        </w:tc>
        <w:tc>
          <w:tcPr>
            <w:tcW w:w="9519" w:type="dxa"/>
            <w:gridSpan w:val="5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08:00-15:30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销售部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顾客要求、顾客财产、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交付后的活动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环境因素/危险源的识别与评价、措施的策划、运行策划和控制、应急准备和响应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8.2、8.5.3、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及现场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 w:rightChars="0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B指导A审核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right="57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组织的岗位、职责和权限、目标、环境因素/危险源的识别与评价、措施的策划、合规义务、合规性评价、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基础设施、过程环境、运行策划、外部提供控制、过程控制、监测分析、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运行策划和控制、应急准备和响应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专业）、改进</w:t>
            </w:r>
          </w:p>
        </w:tc>
        <w:tc>
          <w:tcPr>
            <w:tcW w:w="21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Q:5.3、6.2、7.1.3、7.1.4、8.1、8.4、8.5、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9.1.3、10.2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12:00-12:30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15:30-16:00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审核组内部交流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auto"/>
                <w:sz w:val="21"/>
                <w:szCs w:val="21"/>
              </w:rPr>
              <w:t>会议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审核结束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492FF5"/>
    <w:rsid w:val="64EB0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66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2021-12-13T09:37:31Z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