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0651-2019-E-2021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宝鸡市东兴锻造有限公司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宝鸡市东兴锻造有限公司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69" w:type="dxa"/>
            <w:vAlign w:val="center"/>
          </w:tcPr>
          <w:p>
            <w:r>
              <w:rPr>
                <w:rFonts w:hint="eastAsia"/>
              </w:rPr>
              <w:t>注册地址</w:t>
            </w:r>
          </w:p>
        </w:tc>
        <w:tc>
          <w:tcPr>
            <w:tcW w:w="5045" w:type="dxa"/>
            <w:gridSpan w:val="3"/>
          </w:tcPr>
          <w:p>
            <w:bookmarkStart w:id="6" w:name="注册地址"/>
            <w:r>
              <w:t>陕西省宝鸡市高新开发区钓渭镇东崖村</w:t>
            </w:r>
            <w:bookmarkEnd w:id="6"/>
          </w:p>
        </w:tc>
        <w:tc>
          <w:tcPr>
            <w:tcW w:w="1242" w:type="dxa"/>
            <w:vMerge w:val="restart"/>
            <w:vAlign w:val="center"/>
          </w:tcPr>
          <w:p>
            <w:r>
              <w:rPr>
                <w:rFonts w:hint="eastAsia"/>
              </w:rPr>
              <w:t>邮编</w:t>
            </w:r>
          </w:p>
        </w:tc>
        <w:tc>
          <w:tcPr>
            <w:tcW w:w="1771" w:type="dxa"/>
          </w:tcPr>
          <w:p>
            <w:bookmarkStart w:id="7" w:name="注册邮编"/>
            <w:r>
              <w:t>721304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陕西省宝鸡市高新开发区钓渭镇东崖村</w:t>
            </w:r>
            <w:bookmarkEnd w:id="8"/>
          </w:p>
        </w:tc>
        <w:tc>
          <w:tcPr>
            <w:tcW w:w="1242" w:type="dxa"/>
            <w:vMerge w:val="continue"/>
            <w:vAlign w:val="center"/>
          </w:tcPr>
          <w:p/>
        </w:tc>
        <w:tc>
          <w:tcPr>
            <w:tcW w:w="1771" w:type="dxa"/>
          </w:tcPr>
          <w:p>
            <w:bookmarkStart w:id="9" w:name="办公邮编"/>
            <w:r>
              <w:t>721304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赵晓伟</w:t>
            </w:r>
            <w:bookmarkEnd w:id="10"/>
          </w:p>
        </w:tc>
        <w:tc>
          <w:tcPr>
            <w:tcW w:w="1313" w:type="dxa"/>
            <w:vAlign w:val="center"/>
          </w:tcPr>
          <w:p>
            <w:r>
              <w:rPr>
                <w:rFonts w:hint="eastAsia"/>
              </w:rPr>
              <w:t>电话.</w:t>
            </w:r>
          </w:p>
        </w:tc>
        <w:tc>
          <w:tcPr>
            <w:tcW w:w="2180" w:type="dxa"/>
            <w:vAlign w:val="center"/>
          </w:tcPr>
          <w:p>
            <w:bookmarkStart w:id="11" w:name="联系人电话"/>
            <w:r>
              <w:t>13319171360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赵晓伟</w:t>
            </w:r>
            <w:bookmarkEnd w:id="13"/>
          </w:p>
        </w:tc>
        <w:tc>
          <w:tcPr>
            <w:tcW w:w="1313" w:type="dxa"/>
            <w:vAlign w:val="center"/>
          </w:tcPr>
          <w:p>
            <w:r>
              <w:rPr>
                <w:rFonts w:hint="eastAsia"/>
              </w:rPr>
              <w:t>管理者代表</w:t>
            </w:r>
          </w:p>
        </w:tc>
        <w:tc>
          <w:tcPr>
            <w:tcW w:w="2180" w:type="dxa"/>
          </w:tcPr>
          <w:p>
            <w:bookmarkStart w:id="14" w:name="管理者代表"/>
            <w:r>
              <w:t>曹勇杰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jc w:val="left"/>
            </w:pPr>
            <w:r>
              <w:rPr>
                <w:rFonts w:hint="eastAsia"/>
                <w:color w:val="000000"/>
              </w:rPr>
              <w:t>进货检验→下料→加热→制坯压饼→锻压→热切边→热处理（回火）→抛丸→修毛刺→检验</w:t>
            </w:r>
            <w:r>
              <w:rPr>
                <w:rFonts w:hint="eastAsia"/>
                <w:color w:val="000000"/>
              </w:rPr>
              <w:t>→入 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2021年12月07日 上午至2021年12月07日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rPr>
                <w:rFonts w:hint="eastAsia"/>
              </w:rPr>
            </w:pPr>
            <w:r>
              <w:rPr>
                <w:rFonts w:hint="eastAsia"/>
              </w:rPr>
              <w:t>审核地址（含远程）</w:t>
            </w:r>
          </w:p>
        </w:tc>
        <w:tc>
          <w:tcPr>
            <w:tcW w:w="7831" w:type="dxa"/>
            <w:gridSpan w:val="3"/>
            <w:tcMar>
              <w:left w:w="113" w:type="dxa"/>
            </w:tcMa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hint="eastAsia"/>
              </w:rPr>
            </w:pPr>
            <w:r>
              <w:rPr>
                <w:rFonts w:hint="eastAsia"/>
              </w:rPr>
              <w:t>远程审核方式</w:t>
            </w:r>
          </w:p>
        </w:tc>
        <w:tc>
          <w:tcPr>
            <w:tcW w:w="7831" w:type="dxa"/>
            <w:gridSpan w:val="3"/>
            <w:tcMar>
              <w:left w:w="113" w:type="dxa"/>
            </w:tcMar>
            <w:vAlign w:val="bottom"/>
          </w:tcPr>
          <w:p>
            <w:pPr>
              <w:rPr>
                <w:rFonts w:hint="eastAsia"/>
              </w:rPr>
            </w:pPr>
            <w:r>
              <w:rPr>
                <w:rFonts w:hint="eastAsia"/>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hint="eastAsia"/>
              </w:rPr>
            </w:pPr>
            <w:r>
              <w:rPr>
                <w:rFonts w:hint="eastAsia"/>
              </w:rPr>
              <w:t>信息安全的控制</w:t>
            </w:r>
          </w:p>
        </w:tc>
        <w:tc>
          <w:tcPr>
            <w:tcW w:w="7831" w:type="dxa"/>
            <w:gridSpan w:val="3"/>
            <w:tcMar>
              <w:left w:w="113" w:type="dxa"/>
            </w:tcMar>
            <w:vAlign w:val="bottom"/>
          </w:tcPr>
          <w:p>
            <w:pPr>
              <w:rPr>
                <w:rFonts w:hint="eastAsia"/>
              </w:rPr>
            </w:pPr>
            <w:r>
              <w:rPr>
                <w:rFonts w:hint="eastAsia"/>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7" w:hRule="exact"/>
        </w:trPr>
        <w:tc>
          <w:tcPr>
            <w:tcW w:w="1632" w:type="dxa"/>
            <w:gridSpan w:val="2"/>
          </w:tcPr>
          <w:p>
            <w:pPr>
              <w:rPr>
                <w:rFonts w:hint="eastAsia"/>
              </w:rPr>
            </w:pPr>
            <w:r>
              <w:rPr>
                <w:rFonts w:hint="eastAsia"/>
              </w:rPr>
              <w:t>远程审核资源</w:t>
            </w:r>
          </w:p>
        </w:tc>
        <w:tc>
          <w:tcPr>
            <w:tcW w:w="7831" w:type="dxa"/>
            <w:gridSpan w:val="3"/>
            <w:tcMar>
              <w:left w:w="113" w:type="dxa"/>
            </w:tcMar>
            <w:vAlign w:val="bottom"/>
          </w:tcPr>
          <w:p>
            <w:pPr>
              <w:rPr>
                <w:rFonts w:hint="eastAsia"/>
              </w:rPr>
            </w:pPr>
            <w:r>
              <w:rPr>
                <w:rFonts w:hint="eastAsia"/>
              </w:rPr>
              <w:t>□网络□智能手机□手持设备□笔记本电脑□台式电脑□无人机□摄像机□可穿戴技术□人工智能□其他</w:t>
            </w: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汽车齿轮锻造、机械加工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2019</w:t>
            </w:r>
            <w:r>
              <w:rPr>
                <w:rFonts w:hint="eastAsia" w:ascii="Times New Roman" w:hAnsi="Times New Roman" w:eastAsia="宋体" w:cs="Times New Roman"/>
                <w:lang w:val="en-US" w:eastAsia="zh-CN"/>
              </w:rPr>
              <w:t>年6月</w:t>
            </w:r>
            <w:r>
              <w:rPr>
                <w:rFonts w:hint="eastAsia" w:ascii="Times New Roman" w:hAnsi="Times New Roman" w:eastAsia="宋体" w:cs="Times New Roman"/>
              </w:rPr>
              <w:t>1</w:t>
            </w:r>
            <w:r>
              <w:rPr>
                <w:rFonts w:hint="eastAsia" w:ascii="Times New Roman" w:hAnsi="Times New Roman" w:eastAsia="宋体" w:cs="Times New Roman"/>
                <w:lang w:val="en-US" w:eastAsia="zh-CN"/>
              </w:rPr>
              <w:t>日</w:t>
            </w:r>
            <w:r>
              <w:rPr>
                <w:rFonts w:hint="eastAsia" w:ascii="Times New Roman" w:hAnsi="Times New Roman" w:eastAsia="宋体" w:cs="Times New Roman"/>
              </w:rPr>
              <w:t xml:space="preserve"> </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12月13日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46"/>
        <w:gridCol w:w="1988"/>
        <w:gridCol w:w="571"/>
        <w:gridCol w:w="2091"/>
        <w:gridCol w:w="13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546" w:type="dxa"/>
            <w:shd w:val="clear" w:color="auto" w:fill="F3F3F3"/>
            <w:tcMar>
              <w:left w:w="57" w:type="dxa"/>
              <w:right w:w="57" w:type="dxa"/>
            </w:tcMar>
          </w:tcPr>
          <w:p>
            <w:r>
              <w:rPr>
                <w:rFonts w:hint="eastAsia"/>
              </w:rPr>
              <w:t>组织名称及注册场所地址</w:t>
            </w:r>
          </w:p>
        </w:tc>
        <w:tc>
          <w:tcPr>
            <w:tcW w:w="1988"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91" w:type="dxa"/>
            <w:shd w:val="clear" w:color="auto" w:fill="F3F3F3"/>
            <w:tcMar>
              <w:left w:w="57" w:type="dxa"/>
              <w:right w:w="57" w:type="dxa"/>
            </w:tcMar>
          </w:tcPr>
          <w:p>
            <w:r>
              <w:rPr>
                <w:rFonts w:hint="eastAsia"/>
              </w:rPr>
              <w:t>审核范围（产品和过程）</w:t>
            </w:r>
          </w:p>
          <w:p/>
          <w:p/>
        </w:tc>
        <w:tc>
          <w:tcPr>
            <w:tcW w:w="13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546" w:type="dxa"/>
          </w:tcPr>
          <w:p>
            <w:r>
              <w:t>宝鸡市东兴锻造有限公司</w:t>
            </w:r>
          </w:p>
          <w:p>
            <w:pPr>
              <w:rPr>
                <w:lang w:val="de-DE" w:eastAsia="ja-JP"/>
              </w:rPr>
            </w:pPr>
            <w:r>
              <w:t>陕西省宝鸡市高新开发区钓渭镇东崖村</w:t>
            </w:r>
          </w:p>
        </w:tc>
        <w:tc>
          <w:tcPr>
            <w:tcW w:w="1988" w:type="dxa"/>
          </w:tcPr>
          <w:p>
            <w:pPr>
              <w:rPr>
                <w:lang w:val="de-DE" w:eastAsia="ja-JP"/>
              </w:rPr>
            </w:pPr>
            <w:r>
              <w:t>陕西省宝鸡市高新开发区钓渭镇东崖村</w:t>
            </w:r>
          </w:p>
        </w:tc>
        <w:tc>
          <w:tcPr>
            <w:tcW w:w="571" w:type="dxa"/>
            <w:vAlign w:val="center"/>
          </w:tcPr>
          <w:p>
            <w:pPr>
              <w:rPr>
                <w:rFonts w:hint="default" w:eastAsia="宋体"/>
                <w:lang w:val="en-US" w:eastAsia="zh-CN"/>
              </w:rPr>
            </w:pPr>
            <w:r>
              <w:rPr>
                <w:rFonts w:hint="eastAsia"/>
                <w:lang w:val="en-US" w:eastAsia="zh-CN"/>
              </w:rPr>
              <w:t>30</w:t>
            </w:r>
          </w:p>
        </w:tc>
        <w:tc>
          <w:tcPr>
            <w:tcW w:w="2091" w:type="dxa"/>
            <w:vAlign w:val="center"/>
          </w:tcPr>
          <w:p>
            <w:pPr>
              <w:rPr>
                <w:lang w:eastAsia="ja-JP"/>
              </w:rPr>
            </w:pPr>
            <w:r>
              <w:t>汽车齿轮锻造、机械加工</w:t>
            </w:r>
          </w:p>
        </w:tc>
        <w:tc>
          <w:tcPr>
            <w:tcW w:w="1381" w:type="dxa"/>
            <w:vAlign w:val="center"/>
          </w:tcPr>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546" w:type="dxa"/>
            <w:vAlign w:val="center"/>
          </w:tcPr>
          <w:p>
            <w:pPr>
              <w:rPr>
                <w:lang w:eastAsia="ja-JP"/>
              </w:rPr>
            </w:pPr>
          </w:p>
        </w:tc>
        <w:tc>
          <w:tcPr>
            <w:tcW w:w="1988" w:type="dxa"/>
            <w:vAlign w:val="center"/>
          </w:tcPr>
          <w:p>
            <w:pPr>
              <w:rPr>
                <w:lang w:eastAsia="ja-JP"/>
              </w:rPr>
            </w:pPr>
          </w:p>
        </w:tc>
        <w:tc>
          <w:tcPr>
            <w:tcW w:w="571" w:type="dxa"/>
            <w:vAlign w:val="center"/>
          </w:tcPr>
          <w:p>
            <w:pPr>
              <w:rPr>
                <w:lang w:eastAsia="ja-JP"/>
              </w:rPr>
            </w:pPr>
          </w:p>
        </w:tc>
        <w:tc>
          <w:tcPr>
            <w:tcW w:w="2091"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546" w:type="dxa"/>
            <w:vAlign w:val="center"/>
          </w:tcPr>
          <w:p>
            <w:pPr>
              <w:rPr>
                <w:lang w:eastAsia="ja-JP"/>
              </w:rPr>
            </w:pPr>
          </w:p>
        </w:tc>
        <w:tc>
          <w:tcPr>
            <w:tcW w:w="1988" w:type="dxa"/>
            <w:vAlign w:val="center"/>
          </w:tcPr>
          <w:p>
            <w:pPr>
              <w:rPr>
                <w:lang w:eastAsia="ja-JP"/>
              </w:rPr>
            </w:pPr>
          </w:p>
        </w:tc>
        <w:tc>
          <w:tcPr>
            <w:tcW w:w="571" w:type="dxa"/>
            <w:vAlign w:val="center"/>
          </w:tcPr>
          <w:p>
            <w:pPr>
              <w:rPr>
                <w:lang w:eastAsia="ja-JP"/>
              </w:rPr>
            </w:pPr>
          </w:p>
        </w:tc>
        <w:tc>
          <w:tcPr>
            <w:tcW w:w="2091"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546" w:type="dxa"/>
            <w:vAlign w:val="center"/>
          </w:tcPr>
          <w:p>
            <w:pPr>
              <w:rPr>
                <w:lang w:eastAsia="ja-JP"/>
              </w:rPr>
            </w:pPr>
          </w:p>
        </w:tc>
        <w:tc>
          <w:tcPr>
            <w:tcW w:w="1988" w:type="dxa"/>
            <w:vAlign w:val="center"/>
          </w:tcPr>
          <w:p>
            <w:pPr>
              <w:rPr>
                <w:lang w:eastAsia="ja-JP"/>
              </w:rPr>
            </w:pPr>
          </w:p>
        </w:tc>
        <w:tc>
          <w:tcPr>
            <w:tcW w:w="571" w:type="dxa"/>
            <w:vAlign w:val="center"/>
          </w:tcPr>
          <w:p>
            <w:pPr>
              <w:rPr>
                <w:lang w:eastAsia="ja-JP"/>
              </w:rPr>
            </w:pPr>
          </w:p>
        </w:tc>
        <w:tc>
          <w:tcPr>
            <w:tcW w:w="2091"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546" w:type="dxa"/>
            <w:vAlign w:val="center"/>
          </w:tcPr>
          <w:p>
            <w:pPr>
              <w:rPr>
                <w:lang w:eastAsia="ja-JP"/>
              </w:rPr>
            </w:pPr>
          </w:p>
        </w:tc>
        <w:tc>
          <w:tcPr>
            <w:tcW w:w="1988" w:type="dxa"/>
            <w:vAlign w:val="center"/>
          </w:tcPr>
          <w:p>
            <w:pPr>
              <w:rPr>
                <w:lang w:eastAsia="ja-JP"/>
              </w:rPr>
            </w:pPr>
          </w:p>
        </w:tc>
        <w:tc>
          <w:tcPr>
            <w:tcW w:w="571" w:type="dxa"/>
            <w:vAlign w:val="center"/>
          </w:tcPr>
          <w:p>
            <w:pPr>
              <w:rPr>
                <w:lang w:eastAsia="ja-JP"/>
              </w:rPr>
            </w:pPr>
          </w:p>
        </w:tc>
        <w:tc>
          <w:tcPr>
            <w:tcW w:w="2091"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tc>
        <w:tc>
          <w:tcPr>
            <w:tcW w:w="2179" w:type="dxa"/>
            <w:vAlign w:val="center"/>
          </w:tcPr>
          <w:p>
            <w:r>
              <w:t>17.10.02,18.01.05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pPr>
              <w:rPr>
                <w:rFonts w:hint="default" w:eastAsia="宋体"/>
                <w:lang w:val="en-US" w:eastAsia="zh-CN"/>
              </w:rPr>
            </w:pPr>
            <w:r>
              <w:rPr>
                <w:rFonts w:hint="eastAsia"/>
                <w:lang w:val="en-US" w:eastAsia="zh-CN"/>
              </w:rPr>
              <w:t xml:space="preserve">      0</w:t>
            </w: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t>汽车齿轮锻造、机械加工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11430</wp:posOffset>
                  </wp:positionV>
                  <wp:extent cx="425450" cy="327025"/>
                  <wp:effectExtent l="0" t="0" r="6350" b="317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25450" cy="3270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14:textFill>
                  <w14:solidFill>
                    <w14:schemeClr w14:val="tx1"/>
                  </w14:solidFill>
                </w14:textFill>
              </w:rPr>
              <w:t>2021.12.7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w:t>
            </w:r>
            <w:r>
              <w:rPr>
                <w:rFonts w:hint="eastAsia"/>
                <w:lang w:eastAsia="zh-CN"/>
              </w:rPr>
              <w:t>☑</w:t>
            </w:r>
            <w:r>
              <w:rPr>
                <w:rFonts w:hint="eastAsia"/>
              </w:rPr>
              <w:t>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ind w:firstLine="630" w:firstLineChars="300"/>
              <w:rPr>
                <w:u w:val="single"/>
              </w:rPr>
            </w:pPr>
            <w:r>
              <w:rPr>
                <w:rFonts w:hint="eastAsia"/>
                <w:u w:val="single"/>
              </w:rPr>
              <w:t xml:space="preserve">节约资源  保护环境  遵纪守法  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来自当地环保部门的监察</w:t>
                  </w:r>
                </w:p>
              </w:tc>
              <w:tc>
                <w:tcPr>
                  <w:tcW w:w="3965" w:type="dxa"/>
                  <w:vAlign w:val="top"/>
                </w:tcPr>
                <w:p>
                  <w:pPr>
                    <w:shd w:val="clear" w:color="auto" w:fill="EBF1DE" w:themeFill="accent3" w:themeFillTint="32"/>
                  </w:pPr>
                  <w:r>
                    <w:rPr>
                      <w:rFonts w:hint="eastAsia"/>
                      <w:lang w:val="en-US" w:eastAsia="zh-CN"/>
                    </w:rPr>
                    <w:t>合规合法经营</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污染物超标排放</w:t>
                  </w:r>
                </w:p>
              </w:tc>
              <w:tc>
                <w:tcPr>
                  <w:tcW w:w="3965" w:type="dxa"/>
                  <w:vAlign w:val="top"/>
                </w:tcPr>
                <w:p>
                  <w:pPr>
                    <w:shd w:val="clear" w:color="auto" w:fill="EBF1DE" w:themeFill="accent3" w:themeFillTint="32"/>
                  </w:pPr>
                  <w:r>
                    <w:rPr>
                      <w:rFonts w:hint="eastAsia"/>
                      <w:lang w:val="en-US" w:eastAsia="zh-CN"/>
                    </w:rPr>
                    <w:t>环保设备正常运行</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危险废弃物未按照要求处置</w:t>
                  </w:r>
                </w:p>
              </w:tc>
              <w:tc>
                <w:tcPr>
                  <w:tcW w:w="3965" w:type="dxa"/>
                  <w:vAlign w:val="top"/>
                </w:tcPr>
                <w:p>
                  <w:pPr>
                    <w:shd w:val="clear" w:color="auto" w:fill="EBF1DE" w:themeFill="accent3" w:themeFillTint="32"/>
                  </w:pPr>
                  <w:r>
                    <w:rPr>
                      <w:rFonts w:hint="eastAsia"/>
                      <w:lang w:val="en-US" w:eastAsia="zh-CN"/>
                    </w:rPr>
                    <w:t>交由有资质的处理单位统一处理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w:t>
            </w:r>
            <w:r>
              <w:rPr>
                <w:rFonts w:hint="eastAsia"/>
                <w:lang w:eastAsia="zh-CN"/>
              </w:rPr>
              <w:t>□</w:t>
            </w:r>
            <w:r>
              <w:rPr>
                <w:rFonts w:hint="eastAsia"/>
              </w:rPr>
              <w:t>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lang w:eastAsia="zh-CN"/>
              </w:rPr>
              <w:t>☑</w:t>
            </w:r>
            <w:r>
              <w:rPr>
                <w:rFonts w:hint="eastAsia"/>
              </w:rPr>
              <w:t>排污许可证编号：高新环函(2016) 249号</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环境影响登记表日期：</w:t>
            </w:r>
            <w:r>
              <w:rPr>
                <w:rFonts w:hint="eastAsia"/>
                <w:lang w:val="en-US" w:eastAsia="zh-CN"/>
              </w:rPr>
              <w:t>2019年9月</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除尘设备□设备降噪</w:t>
            </w:r>
            <w:r>
              <w:rPr>
                <w:rFonts w:hint="eastAsia"/>
                <w:lang w:eastAsia="zh-CN"/>
              </w:rPr>
              <w:t>☑</w:t>
            </w:r>
            <w:r>
              <w:rPr>
                <w:rFonts w:hint="eastAsia"/>
              </w:rPr>
              <w:t>危废合法处置□使用节能设备□危化品控制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95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95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环境影响投诉次数为零</w:t>
                  </w:r>
                </w:p>
              </w:tc>
              <w:tc>
                <w:tcPr>
                  <w:tcW w:w="2953" w:type="dxa"/>
                  <w:shd w:val="clear" w:color="auto" w:fill="auto"/>
                  <w:vAlign w:val="center"/>
                </w:tcPr>
                <w:p>
                  <w:pPr>
                    <w:shd w:val="clear" w:color="auto" w:fill="EBF1DE" w:themeFill="accent3" w:themeFillTint="32"/>
                    <w:rPr>
                      <w:lang w:val="en-GB"/>
                    </w:rPr>
                  </w:pPr>
                  <w:r>
                    <w:rPr>
                      <w:rFonts w:hint="eastAsia"/>
                      <w:lang w:val="en-GB"/>
                    </w:rPr>
                    <w:t>建立安全环保检查制度</w:t>
                  </w:r>
                </w:p>
              </w:tc>
              <w:tc>
                <w:tcPr>
                  <w:tcW w:w="1350" w:type="dxa"/>
                  <w:shd w:val="clear" w:color="auto" w:fill="auto"/>
                  <w:vAlign w:val="center"/>
                </w:tcPr>
                <w:p>
                  <w:pPr>
                    <w:shd w:val="clear" w:color="auto" w:fill="EBF1DE" w:themeFill="accent3" w:themeFillTint="32"/>
                    <w:rPr>
                      <w:rFonts w:hint="default"/>
                      <w:lang w:val="en-US"/>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固体废弃物</w:t>
                  </w:r>
                  <w:r>
                    <w:rPr>
                      <w:rFonts w:hint="eastAsia" w:ascii="Times New Roman" w:hAnsi="Times New Roman" w:eastAsia="宋体" w:cs="Times New Roman"/>
                      <w:lang w:eastAsia="zh-CN"/>
                    </w:rPr>
                    <w:t>的分类</w:t>
                  </w:r>
                  <w:r>
                    <w:rPr>
                      <w:rFonts w:hint="eastAsia" w:ascii="Times New Roman" w:hAnsi="Times New Roman" w:eastAsia="宋体" w:cs="Times New Roman"/>
                    </w:rPr>
                    <w:t>处理率为100%</w:t>
                  </w:r>
                </w:p>
              </w:tc>
              <w:tc>
                <w:tcPr>
                  <w:tcW w:w="2953" w:type="dxa"/>
                  <w:shd w:val="clear" w:color="auto" w:fill="auto"/>
                  <w:vAlign w:val="center"/>
                </w:tcPr>
                <w:p>
                  <w:pPr>
                    <w:shd w:val="clear" w:color="auto" w:fill="EBF1DE" w:themeFill="accent3" w:themeFillTint="32"/>
                    <w:rPr>
                      <w:rFonts w:ascii="宋体" w:hAnsi="宋体"/>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火灾事故次数为零</w:t>
                  </w:r>
                </w:p>
              </w:tc>
              <w:tc>
                <w:tcPr>
                  <w:tcW w:w="2953" w:type="dxa"/>
                  <w:shd w:val="clear" w:color="auto" w:fill="auto"/>
                  <w:vAlign w:val="center"/>
                </w:tcPr>
                <w:p>
                  <w:pPr>
                    <w:shd w:val="clear" w:color="auto" w:fill="EBF1DE" w:themeFill="accent3" w:themeFillTint="32"/>
                    <w:rPr>
                      <w:rFonts w:ascii="宋体" w:hAnsi="宋体"/>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无重大环境污染事故</w:t>
                  </w:r>
                </w:p>
              </w:tc>
              <w:tc>
                <w:tcPr>
                  <w:tcW w:w="2953" w:type="dxa"/>
                  <w:shd w:val="clear" w:color="auto" w:fill="auto"/>
                  <w:vAlign w:val="center"/>
                </w:tcPr>
                <w:p>
                  <w:pPr>
                    <w:shd w:val="clear" w:color="auto" w:fill="EBF1DE" w:themeFill="accent3" w:themeFillTint="32"/>
                    <w:rPr>
                      <w:rFonts w:ascii="宋体" w:hAnsi="宋体"/>
                    </w:rPr>
                  </w:pPr>
                  <w:r>
                    <w:rPr>
                      <w:rFonts w:hint="eastAsia"/>
                      <w:color w:val="auto"/>
                      <w:lang w:val="en-US" w:eastAsia="zh-CN"/>
                    </w:rPr>
                    <w:t>加强环保设备的日常管理</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auto"/>
                </w:tcPr>
                <w:p>
                  <w:pPr>
                    <w:shd w:val="clear" w:color="auto" w:fill="EBF1DE" w:themeFill="accent3" w:themeFillTint="32"/>
                  </w:pPr>
                </w:p>
              </w:tc>
              <w:tc>
                <w:tcPr>
                  <w:tcW w:w="295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建筑面积1</w:t>
            </w:r>
            <w:r>
              <w:rPr>
                <w:rFonts w:hint="eastAsia"/>
                <w:lang w:val="en-US" w:eastAsia="zh-CN"/>
              </w:rPr>
              <w:t>5</w:t>
            </w:r>
            <w:r>
              <w:rPr>
                <w:rFonts w:hint="eastAsia"/>
              </w:rPr>
              <w:t>000平方米；生产车间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rPr>
              <w:t>冲床</w:t>
            </w:r>
            <w:r>
              <w:rPr>
                <w:rFonts w:hint="eastAsia" w:ascii="Times New Roman" w:hAnsi="Times New Roman" w:eastAsia="宋体" w:cs="Times New Roman"/>
                <w:u w:val="single"/>
                <w:lang w:eastAsia="zh-CN"/>
              </w:rPr>
              <w:t>、1000KN双盘摩擦压力机、中频感应炉、3T电液模锻锤、下料带锯机</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滤筒式</w:t>
            </w:r>
            <w:r>
              <w:rPr>
                <w:rFonts w:hint="eastAsia"/>
                <w:u w:val="single"/>
                <w:lang w:val="en-US" w:eastAsia="zh-CN"/>
              </w:rPr>
              <w:t>除尘器、切割除尘净化器、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环境监测的计量器具有：金相分析仪</w:t>
            </w:r>
            <w:r>
              <w:rPr>
                <w:rFonts w:hint="eastAsia"/>
                <w:lang w:eastAsia="zh-CN"/>
              </w:rPr>
              <w:t>、</w:t>
            </w:r>
            <w:r>
              <w:rPr>
                <w:rFonts w:hint="eastAsia"/>
              </w:rPr>
              <w:t>布氏硬度计</w:t>
            </w:r>
            <w:r>
              <w:rPr>
                <w:rFonts w:hint="eastAsia"/>
                <w:lang w:eastAsia="zh-CN"/>
              </w:rPr>
              <w:t>、</w:t>
            </w:r>
            <w:r>
              <w:rPr>
                <w:rFonts w:hint="eastAsia"/>
                <w:lang w:val="en-US" w:eastAsia="zh-CN"/>
              </w:rPr>
              <w:t>压力表、红外线测温仪</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78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5782" w:type="dxa"/>
                </w:tcPr>
                <w:p>
                  <w:pPr>
                    <w:shd w:val="clear" w:color="auto" w:fill="EBF1DE" w:themeFill="accent3" w:themeFillTint="32"/>
                    <w:jc w:val="left"/>
                  </w:pPr>
                  <w:r>
                    <w:rPr>
                      <w:rFonts w:hint="eastAsia"/>
                    </w:rPr>
                    <w:t>控制措施</w:t>
                  </w:r>
                </w:p>
              </w:tc>
              <w:tc>
                <w:tcPr>
                  <w:tcW w:w="114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5782" w:type="dxa"/>
                  <w:vAlign w:val="top"/>
                </w:tcPr>
                <w:p>
                  <w:pPr>
                    <w:shd w:val="clear" w:color="auto" w:fill="EBF1DE" w:themeFill="accent3" w:themeFillTint="32"/>
                    <w:jc w:val="left"/>
                  </w:pPr>
                  <w:r>
                    <w:rPr>
                      <w:rFonts w:hint="eastAsia" w:ascii="宋体" w:hAnsi="宋体" w:eastAsia="宋体" w:cs="宋体"/>
                      <w:sz w:val="21"/>
                      <w:szCs w:val="21"/>
                    </w:rPr>
                    <w:t>生产过程注意节水、节电、节钢材，人走关闭设备和照明开关，</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5782" w:type="dxa"/>
                  <w:vAlign w:val="top"/>
                </w:tcPr>
                <w:p>
                  <w:pPr>
                    <w:shd w:val="clear" w:color="auto" w:fill="EBF1DE" w:themeFill="accent3" w:themeFillTint="32"/>
                    <w:jc w:val="left"/>
                  </w:pPr>
                  <w:r>
                    <w:rPr>
                      <w:rFonts w:hint="eastAsia"/>
                      <w:lang w:val="en-US" w:eastAsia="zh-CN"/>
                    </w:rPr>
                    <w:t>原材料的消耗，优化生产工艺，减少浪费。</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5782" w:type="dxa"/>
                  <w:vAlign w:val="top"/>
                </w:tcPr>
                <w:p>
                  <w:pPr>
                    <w:shd w:val="clear" w:color="auto" w:fill="EBF1DE" w:themeFill="accent3" w:themeFillTint="32"/>
                    <w:jc w:val="left"/>
                  </w:pPr>
                  <w:r>
                    <w:rPr>
                      <w:rFonts w:hint="eastAsia" w:ascii="宋体" w:hAnsi="宋体" w:cs="宋体"/>
                      <w:sz w:val="21"/>
                      <w:szCs w:val="21"/>
                      <w:lang w:val="en-US" w:eastAsia="zh-CN"/>
                    </w:rPr>
                    <w:t>企业</w:t>
                  </w:r>
                  <w:r>
                    <w:rPr>
                      <w:rFonts w:hint="eastAsia" w:ascii="宋体" w:hAnsi="宋体" w:eastAsia="宋体" w:cs="宋体"/>
                      <w:sz w:val="21"/>
                      <w:szCs w:val="21"/>
                    </w:rPr>
                    <w:t>产生的生产废水，循环利用，不外排</w:t>
                  </w:r>
                  <w:r>
                    <w:rPr>
                      <w:rFonts w:hint="eastAsia" w:ascii="宋体" w:hAnsi="宋体" w:cs="宋体"/>
                      <w:sz w:val="21"/>
                      <w:szCs w:val="21"/>
                      <w:lang w:eastAsia="zh-CN"/>
                    </w:rPr>
                    <w:t>；</w:t>
                  </w:r>
                  <w:r>
                    <w:rPr>
                      <w:rFonts w:hint="eastAsia" w:ascii="宋体" w:hAnsi="宋体" w:eastAsia="宋体" w:cs="宋体"/>
                      <w:sz w:val="21"/>
                      <w:szCs w:val="21"/>
                    </w:rPr>
                    <w:t>生活污水排入化粪池，定期清掏</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5782" w:type="dxa"/>
                  <w:vAlign w:val="top"/>
                </w:tcPr>
                <w:p>
                  <w:pPr>
                    <w:shd w:val="clear" w:color="auto" w:fill="EBF1DE" w:themeFill="accent3" w:themeFillTint="32"/>
                    <w:jc w:val="left"/>
                  </w:pPr>
                  <w:r>
                    <w:rPr>
                      <w:rFonts w:hint="eastAsia" w:ascii="宋体" w:hAnsi="宋体" w:eastAsia="宋体" w:cs="宋体"/>
                      <w:sz w:val="21"/>
                      <w:szCs w:val="21"/>
                      <w:lang w:val="en-US" w:eastAsia="zh-CN"/>
                    </w:rPr>
                    <w:t>1</w:t>
                  </w:r>
                  <w:r>
                    <w:rPr>
                      <w:rFonts w:hint="eastAsia" w:ascii="宋体" w:hAnsi="宋体" w:eastAsia="宋体" w:cs="宋体"/>
                      <w:sz w:val="21"/>
                      <w:szCs w:val="21"/>
                    </w:rPr>
                    <w:t>台抛丸机产生的抛丸粉尘每台抛丸机自带的布袋除尘器处理后，经各自15m高排气简排放。</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5782" w:type="dxa"/>
                  <w:vAlign w:val="top"/>
                </w:tcPr>
                <w:p>
                  <w:pPr>
                    <w:shd w:val="clear" w:color="auto" w:fill="EBF1DE" w:themeFill="accent3" w:themeFillTint="32"/>
                    <w:jc w:val="left"/>
                  </w:pPr>
                  <w:r>
                    <w:rPr>
                      <w:rFonts w:hint="eastAsia" w:ascii="宋体" w:hAnsi="宋体" w:eastAsia="宋体" w:cs="宋体"/>
                      <w:sz w:val="21"/>
                      <w:szCs w:val="21"/>
                    </w:rPr>
                    <w:t>采取厂房内操作和选用低噪声的设备和工具并做消声和减振处理，同时加强设备的检查和维保，确保机械设备在正常工况下运行，经噪声监测达标排放。</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5782" w:type="dxa"/>
                  <w:vAlign w:val="top"/>
                </w:tcPr>
                <w:p>
                  <w:pPr>
                    <w:shd w:val="clear" w:color="auto" w:fill="EBF1DE" w:themeFill="accent3" w:themeFillTint="32"/>
                    <w:jc w:val="left"/>
                  </w:pPr>
                  <w:r>
                    <w:rPr>
                      <w:rFonts w:hint="eastAsia" w:ascii="宋体" w:hAnsi="宋体" w:eastAsia="宋体" w:cs="宋体"/>
                      <w:sz w:val="21"/>
                      <w:szCs w:val="21"/>
                    </w:rPr>
                    <w:t>废金属屑及边角料经厂区内收集后外售至物资回收公司;废次品经厂区内收集后外售至物资回收公司;废机油、废液压油、废磨削液、废乳化液及废包装桶经厂区内集中收集后委托有危险废物处理资质的单位进行处理:收集粉尘经厂区内收集后外售至物资回收公司:员工生活垃圾经厂区内集中收集后由当地环卫部门统一清运。</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5782" w:type="dxa"/>
                  <w:vAlign w:val="top"/>
                </w:tcPr>
                <w:p>
                  <w:pPr>
                    <w:shd w:val="clear" w:color="auto" w:fill="EBF1DE" w:themeFill="accent3" w:themeFillTint="32"/>
                    <w:jc w:val="left"/>
                  </w:pPr>
                  <w:r>
                    <w:rPr>
                      <w:rFonts w:hint="eastAsia" w:cs="Times New Roman"/>
                      <w:kern w:val="2"/>
                      <w:sz w:val="21"/>
                      <w:szCs w:val="24"/>
                      <w:lang w:val="en-US" w:eastAsia="zh-CN" w:bidi="ar-SA"/>
                    </w:rPr>
                    <w:t>布袋除尘收集设施</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5782" w:type="dxa"/>
                  <w:vAlign w:val="top"/>
                </w:tcPr>
                <w:p>
                  <w:pPr>
                    <w:shd w:val="clear" w:color="auto" w:fill="EBF1DE" w:themeFill="accent3" w:themeFillTint="32"/>
                    <w:jc w:val="left"/>
                  </w:pPr>
                  <w:r>
                    <w:rPr>
                      <w:rFonts w:hint="eastAsia"/>
                      <w:szCs w:val="22"/>
                    </w:rPr>
                    <w:t>公司生产车间和办公区域配备了灭火器</w:t>
                  </w:r>
                </w:p>
              </w:tc>
              <w:tc>
                <w:tcPr>
                  <w:tcW w:w="1148"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5782" w:type="dxa"/>
                </w:tcPr>
                <w:p>
                  <w:pPr>
                    <w:shd w:val="clear" w:color="auto" w:fill="EBF1DE" w:themeFill="accent3" w:themeFillTint="32"/>
                    <w:jc w:val="left"/>
                  </w:pPr>
                </w:p>
              </w:tc>
              <w:tc>
                <w:tcPr>
                  <w:tcW w:w="1148"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eastAsia="宋体"/>
                <w:lang w:eastAsia="zh-CN"/>
              </w:rPr>
            </w:pPr>
            <w:r>
              <w:rPr>
                <w:rFonts w:hint="eastAsia"/>
              </w:rPr>
              <w:t>特种设备检测报告，如：</w:t>
            </w:r>
            <w:r>
              <w:rPr>
                <w:rFonts w:hint="eastAsia"/>
                <w:u w:val="single"/>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9</w:t>
            </w:r>
            <w:r>
              <w:rPr>
                <w:rFonts w:hint="eastAsia"/>
              </w:rPr>
              <w:t>日进行了的</w:t>
            </w:r>
            <w:r>
              <w:rPr>
                <w:rFonts w:hint="eastAsia"/>
                <w:lang w:val="en-US" w:eastAsia="zh-CN"/>
              </w:rPr>
              <w:t xml:space="preserve"> </w:t>
            </w:r>
            <w:r>
              <w:rPr>
                <w:rFonts w:hint="eastAsia"/>
                <w:u w:val="single"/>
                <w:lang w:val="en-US" w:eastAsia="zh-CN"/>
              </w:rPr>
              <w:t>应急消防</w:t>
            </w:r>
            <w:r>
              <w:rPr>
                <w:rFonts w:hint="eastAsia"/>
                <w:u w:val="single"/>
              </w:rPr>
              <w:t xml:space="preserve"> </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定期（每年）：2021年6月23日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《环境监测报告》编号：ZT210180</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于2021</w:t>
            </w:r>
            <w:r>
              <w:rPr>
                <w:rFonts w:hint="eastAsia" w:ascii="Times New Roman" w:hAnsi="Times New Roman" w:eastAsia="宋体" w:cs="Times New Roman"/>
                <w:lang w:val="en-US" w:eastAsia="zh-CN"/>
              </w:rPr>
              <w:t>年</w:t>
            </w:r>
            <w:r>
              <w:rPr>
                <w:rFonts w:hint="eastAsia" w:ascii="Times New Roman" w:hAnsi="Times New Roman" w:eastAsia="宋体" w:cs="Times New Roman"/>
              </w:rPr>
              <w:t>11</w:t>
            </w:r>
            <w:r>
              <w:rPr>
                <w:rFonts w:hint="eastAsia" w:ascii="Times New Roman" w:hAnsi="Times New Roman" w:eastAsia="宋体" w:cs="Times New Roman"/>
                <w:lang w:val="en-US" w:eastAsia="zh-CN"/>
              </w:rPr>
              <w:t>月</w:t>
            </w:r>
            <w:r>
              <w:rPr>
                <w:rFonts w:hint="eastAsia" w:ascii="Times New Roman" w:hAnsi="Times New Roman" w:eastAsia="宋体" w:cs="Times New Roman"/>
              </w:rPr>
              <w:t>10-11</w:t>
            </w:r>
            <w:r>
              <w:rPr>
                <w:rFonts w:hint="eastAsia" w:ascii="Times New Roman" w:hAnsi="Times New Roman" w:eastAsia="宋体" w:cs="Times New Roman"/>
                <w:lang w:val="en-US" w:eastAsia="zh-CN"/>
              </w:rPr>
              <w:t>日</w:t>
            </w:r>
            <w:r>
              <w:rPr>
                <w:rFonts w:hint="eastAsia" w:ascii="Times New Roman" w:hAnsi="Times New Roman" w:eastAsia="宋体" w:cs="Times New Roman"/>
              </w:rPr>
              <w:t>实施</w:t>
            </w:r>
            <w:r>
              <w:rPr>
                <w:rFonts w:hint="eastAsia"/>
              </w:rPr>
              <w:t>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 2021</w:t>
            </w:r>
            <w:r>
              <w:rPr>
                <w:rFonts w:hint="eastAsia"/>
                <w:lang w:val="en-US" w:eastAsia="zh-CN"/>
              </w:rPr>
              <w:t>年</w:t>
            </w:r>
            <w:r>
              <w:rPr>
                <w:rFonts w:hint="eastAsia"/>
              </w:rPr>
              <w:t>11</w:t>
            </w:r>
            <w:r>
              <w:rPr>
                <w:rFonts w:hint="eastAsia"/>
                <w:lang w:val="en-US" w:eastAsia="zh-CN"/>
              </w:rPr>
              <w:t>月</w:t>
            </w:r>
            <w:r>
              <w:rPr>
                <w:rFonts w:hint="eastAsia"/>
              </w:rPr>
              <w:t>22</w:t>
            </w:r>
            <w:r>
              <w:rPr>
                <w:rFonts w:hint="eastAsia"/>
                <w:lang w:val="en-US"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463"/>
        <w:gridCol w:w="1040"/>
        <w:gridCol w:w="1040"/>
        <w:gridCol w:w="990"/>
        <w:gridCol w:w="860"/>
        <w:gridCol w:w="730"/>
        <w:gridCol w:w="850"/>
        <w:gridCol w:w="800"/>
        <w:gridCol w:w="873"/>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rPr>
              <w:t>4.1</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rPr>
              <w:t>4.2</w:t>
            </w:r>
          </w:p>
        </w:tc>
        <w:tc>
          <w:tcPr>
            <w:tcW w:w="990" w:type="dxa"/>
            <w:shd w:val="clear" w:color="auto" w:fill="EBF1DE" w:themeFill="accent3" w:themeFillTint="32"/>
            <w:vAlign w:val="center"/>
          </w:tcPr>
          <w:p>
            <w:pPr>
              <w:shd w:val="clear" w:color="auto" w:fill="EBF1DE" w:themeFill="accent3" w:themeFillTint="32"/>
              <w:jc w:val="center"/>
              <w:rPr>
                <w:lang w:eastAsia="ja-JP"/>
              </w:rPr>
            </w:pPr>
            <w:r>
              <w:rPr>
                <w:rFonts w:hint="eastAsia"/>
              </w:rPr>
              <w:t>4.3</w:t>
            </w:r>
          </w:p>
        </w:tc>
        <w:tc>
          <w:tcPr>
            <w:tcW w:w="860" w:type="dxa"/>
            <w:shd w:val="clear" w:color="auto" w:fill="EBF1DE" w:themeFill="accent3" w:themeFillTint="32"/>
            <w:vAlign w:val="center"/>
          </w:tcPr>
          <w:p>
            <w:pPr>
              <w:shd w:val="clear" w:color="auto" w:fill="EBF1DE" w:themeFill="accent3" w:themeFillTint="32"/>
              <w:jc w:val="center"/>
              <w:rPr>
                <w:lang w:eastAsia="ja-JP"/>
              </w:rPr>
            </w:pPr>
            <w:r>
              <w:rPr>
                <w:rFonts w:hint="eastAsia"/>
              </w:rPr>
              <w:t>4.4</w:t>
            </w:r>
          </w:p>
        </w:tc>
        <w:tc>
          <w:tcPr>
            <w:tcW w:w="730" w:type="dxa"/>
            <w:shd w:val="clear" w:color="auto" w:fill="EBF1DE" w:themeFill="accent3" w:themeFillTint="32"/>
            <w:vAlign w:val="center"/>
          </w:tcPr>
          <w:p>
            <w:pPr>
              <w:shd w:val="clear" w:color="auto" w:fill="EBF1DE" w:themeFill="accent3" w:themeFillTint="32"/>
              <w:jc w:val="center"/>
              <w:rPr>
                <w:lang w:eastAsia="ja-JP"/>
              </w:rPr>
            </w:pPr>
            <w:r>
              <w:rPr>
                <w:rFonts w:hint="eastAsia"/>
              </w:rPr>
              <w:t>5.1</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rPr>
              <w:t>5.2</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rPr>
              <w:t>5.3</w:t>
            </w:r>
          </w:p>
        </w:tc>
        <w:tc>
          <w:tcPr>
            <w:tcW w:w="873" w:type="dxa"/>
            <w:shd w:val="clear" w:color="auto" w:fill="EBF1DE" w:themeFill="accent3" w:themeFillTint="32"/>
            <w:vAlign w:val="center"/>
          </w:tcPr>
          <w:p>
            <w:pPr>
              <w:shd w:val="clear" w:color="auto" w:fill="EBF1DE" w:themeFill="accent3" w:themeFillTint="32"/>
              <w:jc w:val="center"/>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99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73"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1040" w:type="dxa"/>
            <w:shd w:val="clear" w:color="auto" w:fill="EBF1DE" w:themeFill="accent3" w:themeFillTint="32"/>
            <w:vAlign w:val="center"/>
          </w:tcPr>
          <w:p>
            <w:pPr>
              <w:shd w:val="clear" w:color="auto" w:fill="EBF1DE" w:themeFill="accent3" w:themeFillTint="32"/>
              <w:jc w:val="center"/>
              <w:rPr>
                <w:lang w:eastAsia="ja-JP"/>
              </w:rPr>
            </w:pPr>
          </w:p>
        </w:tc>
        <w:tc>
          <w:tcPr>
            <w:tcW w:w="1040" w:type="dxa"/>
            <w:shd w:val="clear" w:color="auto" w:fill="EBF1DE" w:themeFill="accent3" w:themeFillTint="32"/>
            <w:vAlign w:val="center"/>
          </w:tcPr>
          <w:p>
            <w:pPr>
              <w:shd w:val="clear" w:color="auto" w:fill="EBF1DE" w:themeFill="accent3" w:themeFillTint="32"/>
              <w:jc w:val="center"/>
              <w:rPr>
                <w:lang w:eastAsia="ja-JP"/>
              </w:rPr>
            </w:pPr>
          </w:p>
        </w:tc>
        <w:tc>
          <w:tcPr>
            <w:tcW w:w="990" w:type="dxa"/>
            <w:shd w:val="clear" w:color="auto" w:fill="EBF1DE" w:themeFill="accent3" w:themeFillTint="32"/>
            <w:vAlign w:val="center"/>
          </w:tcPr>
          <w:p>
            <w:pPr>
              <w:shd w:val="clear" w:color="auto" w:fill="EBF1DE" w:themeFill="accent3" w:themeFillTint="32"/>
              <w:jc w:val="center"/>
              <w:rPr>
                <w:lang w:eastAsia="ja-JP"/>
              </w:rPr>
            </w:pPr>
          </w:p>
        </w:tc>
        <w:tc>
          <w:tcPr>
            <w:tcW w:w="860" w:type="dxa"/>
            <w:shd w:val="clear" w:color="auto" w:fill="EBF1DE" w:themeFill="accent3" w:themeFillTint="32"/>
            <w:vAlign w:val="center"/>
          </w:tcPr>
          <w:p>
            <w:pPr>
              <w:shd w:val="clear" w:color="auto" w:fill="EBF1DE" w:themeFill="accent3" w:themeFillTint="32"/>
              <w:jc w:val="center"/>
              <w:rPr>
                <w:lang w:eastAsia="ja-JP"/>
              </w:rPr>
            </w:pPr>
          </w:p>
        </w:tc>
        <w:tc>
          <w:tcPr>
            <w:tcW w:w="730" w:type="dxa"/>
            <w:shd w:val="clear" w:color="auto" w:fill="EBF1DE" w:themeFill="accent3" w:themeFillTint="32"/>
            <w:vAlign w:val="center"/>
          </w:tcPr>
          <w:p>
            <w:pPr>
              <w:shd w:val="clear" w:color="auto" w:fill="EBF1DE" w:themeFill="accent3" w:themeFillTint="32"/>
              <w:jc w:val="center"/>
              <w:rPr>
                <w:lang w:eastAsia="ja-JP"/>
              </w:rPr>
            </w:pPr>
          </w:p>
        </w:tc>
        <w:tc>
          <w:tcPr>
            <w:tcW w:w="850" w:type="dxa"/>
            <w:shd w:val="clear" w:color="auto" w:fill="EBF1DE" w:themeFill="accent3" w:themeFillTint="32"/>
            <w:vAlign w:val="center"/>
          </w:tcPr>
          <w:p>
            <w:pPr>
              <w:shd w:val="clear" w:color="auto" w:fill="EBF1DE" w:themeFill="accent3" w:themeFillTint="32"/>
              <w:jc w:val="center"/>
              <w:rPr>
                <w:lang w:eastAsia="ja-JP"/>
              </w:rPr>
            </w:pPr>
          </w:p>
        </w:tc>
        <w:tc>
          <w:tcPr>
            <w:tcW w:w="800" w:type="dxa"/>
            <w:shd w:val="clear" w:color="auto" w:fill="EBF1DE" w:themeFill="accent3" w:themeFillTint="32"/>
            <w:vAlign w:val="center"/>
          </w:tcPr>
          <w:p>
            <w:pPr>
              <w:shd w:val="clear" w:color="auto" w:fill="EBF1DE" w:themeFill="accent3" w:themeFillTint="32"/>
              <w:jc w:val="center"/>
              <w:rPr>
                <w:lang w:eastAsia="ja-JP"/>
              </w:rPr>
            </w:pPr>
          </w:p>
        </w:tc>
        <w:tc>
          <w:tcPr>
            <w:tcW w:w="873" w:type="dxa"/>
            <w:shd w:val="clear" w:color="auto" w:fill="EBF1DE" w:themeFill="accent3" w:themeFillTint="32"/>
            <w:vAlign w:val="center"/>
          </w:tcPr>
          <w:p>
            <w:pPr>
              <w:shd w:val="clear" w:color="auto" w:fill="EBF1DE" w:themeFill="accent3" w:themeFillTint="32"/>
              <w:jc w:val="center"/>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jc w:val="center"/>
              <w:rPr>
                <w:lang w:eastAsia="ja-JP"/>
              </w:rPr>
            </w:pPr>
          </w:p>
        </w:tc>
        <w:tc>
          <w:tcPr>
            <w:tcW w:w="780" w:type="dxa"/>
            <w:shd w:val="clear" w:color="auto" w:fill="EBF1DE" w:themeFill="accent3" w:themeFillTint="32"/>
            <w:vAlign w:val="center"/>
          </w:tcPr>
          <w:p>
            <w:pPr>
              <w:shd w:val="clear" w:color="auto" w:fill="EBF1DE" w:themeFill="accent3"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rPr>
              <w:t>7.2</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rPr>
              <w:t>7.3</w:t>
            </w:r>
          </w:p>
        </w:tc>
        <w:tc>
          <w:tcPr>
            <w:tcW w:w="990" w:type="dxa"/>
            <w:shd w:val="clear" w:color="auto" w:fill="EBF1DE" w:themeFill="accent3" w:themeFillTint="32"/>
            <w:vAlign w:val="center"/>
          </w:tcPr>
          <w:p>
            <w:pPr>
              <w:shd w:val="clear" w:color="auto" w:fill="EBF1DE" w:themeFill="accent3" w:themeFillTint="32"/>
              <w:jc w:val="center"/>
              <w:rPr>
                <w:lang w:eastAsia="ja-JP"/>
              </w:rPr>
            </w:pPr>
            <w:r>
              <w:rPr>
                <w:rFonts w:hint="eastAsia"/>
              </w:rPr>
              <w:t>7.4</w:t>
            </w:r>
          </w:p>
        </w:tc>
        <w:tc>
          <w:tcPr>
            <w:tcW w:w="860" w:type="dxa"/>
            <w:shd w:val="clear" w:color="auto" w:fill="EBF1DE" w:themeFill="accent3" w:themeFillTint="32"/>
            <w:vAlign w:val="center"/>
          </w:tcPr>
          <w:p>
            <w:pPr>
              <w:shd w:val="clear" w:color="auto" w:fill="EBF1DE" w:themeFill="accent3" w:themeFillTint="32"/>
              <w:jc w:val="center"/>
              <w:rPr>
                <w:lang w:eastAsia="ja-JP"/>
              </w:rPr>
            </w:pPr>
            <w:r>
              <w:rPr>
                <w:rFonts w:hint="eastAsia"/>
              </w:rPr>
              <w:t>7.5</w:t>
            </w:r>
          </w:p>
        </w:tc>
        <w:tc>
          <w:tcPr>
            <w:tcW w:w="730" w:type="dxa"/>
            <w:shd w:val="clear" w:color="auto" w:fill="EBF1DE" w:themeFill="accent3" w:themeFillTint="32"/>
            <w:vAlign w:val="center"/>
          </w:tcPr>
          <w:p>
            <w:pPr>
              <w:shd w:val="clear" w:color="auto" w:fill="EBF1DE" w:themeFill="accent3" w:themeFillTint="32"/>
              <w:jc w:val="center"/>
              <w:rPr>
                <w:lang w:eastAsia="ja-JP"/>
              </w:rPr>
            </w:pPr>
            <w:r>
              <w:rPr>
                <w:rFonts w:hint="eastAsia"/>
              </w:rPr>
              <w:t>8.1</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rPr>
              <w:t>8.2</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rPr>
              <w:t>9.1</w:t>
            </w:r>
          </w:p>
        </w:tc>
        <w:tc>
          <w:tcPr>
            <w:tcW w:w="873" w:type="dxa"/>
            <w:shd w:val="clear" w:color="auto" w:fill="EBF1DE" w:themeFill="accent3" w:themeFillTint="32"/>
            <w:vAlign w:val="center"/>
          </w:tcPr>
          <w:p>
            <w:pPr>
              <w:shd w:val="clear" w:color="auto" w:fill="EBF1DE" w:themeFill="accent3" w:themeFillTint="32"/>
              <w:jc w:val="center"/>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99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73"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104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1040" w:type="dxa"/>
            <w:shd w:val="clear" w:color="auto" w:fill="EBF1DE" w:themeFill="accent3" w:themeFillTint="32"/>
            <w:vAlign w:val="center"/>
          </w:tcPr>
          <w:p>
            <w:pPr>
              <w:shd w:val="clear" w:color="auto" w:fill="EBF1DE" w:themeFill="accent3" w:themeFillTint="32"/>
              <w:jc w:val="center"/>
              <w:rPr>
                <w:lang w:eastAsia="ja-JP"/>
              </w:rPr>
            </w:pPr>
          </w:p>
        </w:tc>
        <w:tc>
          <w:tcPr>
            <w:tcW w:w="990" w:type="dxa"/>
            <w:shd w:val="clear" w:color="auto" w:fill="EBF1DE" w:themeFill="accent3" w:themeFillTint="32"/>
            <w:vAlign w:val="center"/>
          </w:tcPr>
          <w:p>
            <w:pPr>
              <w:shd w:val="clear" w:color="auto" w:fill="EBF1DE" w:themeFill="accent3" w:themeFillTint="32"/>
              <w:jc w:val="center"/>
              <w:rPr>
                <w:lang w:eastAsia="ja-JP"/>
              </w:rPr>
            </w:pPr>
          </w:p>
        </w:tc>
        <w:tc>
          <w:tcPr>
            <w:tcW w:w="860" w:type="dxa"/>
            <w:shd w:val="clear" w:color="auto" w:fill="EBF1DE" w:themeFill="accent3" w:themeFillTint="32"/>
            <w:vAlign w:val="center"/>
          </w:tcPr>
          <w:p>
            <w:pPr>
              <w:shd w:val="clear" w:color="auto" w:fill="EBF1DE" w:themeFill="accent3" w:themeFillTint="32"/>
              <w:jc w:val="center"/>
              <w:rPr>
                <w:lang w:eastAsia="ja-JP"/>
              </w:rPr>
            </w:pPr>
          </w:p>
        </w:tc>
        <w:tc>
          <w:tcPr>
            <w:tcW w:w="730" w:type="dxa"/>
            <w:shd w:val="clear" w:color="auto" w:fill="EBF1DE" w:themeFill="accent3" w:themeFillTint="32"/>
            <w:vAlign w:val="center"/>
          </w:tcPr>
          <w:p>
            <w:pPr>
              <w:shd w:val="clear" w:color="auto" w:fill="EBF1DE" w:themeFill="accent3" w:themeFillTint="32"/>
              <w:jc w:val="center"/>
              <w:rPr>
                <w:lang w:eastAsia="ja-JP"/>
              </w:rPr>
            </w:pPr>
          </w:p>
        </w:tc>
        <w:tc>
          <w:tcPr>
            <w:tcW w:w="850" w:type="dxa"/>
            <w:shd w:val="clear" w:color="auto" w:fill="EBF1DE" w:themeFill="accent3" w:themeFillTint="32"/>
            <w:vAlign w:val="center"/>
          </w:tcPr>
          <w:p>
            <w:pPr>
              <w:shd w:val="clear" w:color="auto" w:fill="EBF1DE" w:themeFill="accent3" w:themeFillTint="32"/>
              <w:jc w:val="center"/>
              <w:rPr>
                <w:lang w:eastAsia="ja-JP"/>
              </w:rPr>
            </w:pPr>
          </w:p>
        </w:tc>
        <w:tc>
          <w:tcPr>
            <w:tcW w:w="800" w:type="dxa"/>
            <w:shd w:val="clear" w:color="auto" w:fill="EBF1DE" w:themeFill="accent3" w:themeFillTint="32"/>
            <w:vAlign w:val="center"/>
          </w:tcPr>
          <w:p>
            <w:pPr>
              <w:shd w:val="clear" w:color="auto" w:fill="EBF1DE" w:themeFill="accent3" w:themeFillTint="32"/>
              <w:jc w:val="center"/>
              <w:rPr>
                <w:lang w:eastAsia="ja-JP"/>
              </w:rPr>
            </w:pPr>
          </w:p>
        </w:tc>
        <w:tc>
          <w:tcPr>
            <w:tcW w:w="873" w:type="dxa"/>
            <w:shd w:val="clear" w:color="auto" w:fill="EBF1DE" w:themeFill="accent3" w:themeFillTint="32"/>
            <w:vAlign w:val="center"/>
          </w:tcPr>
          <w:p>
            <w:pPr>
              <w:shd w:val="clear" w:color="auto" w:fill="EBF1DE" w:themeFill="accent3" w:themeFillTint="32"/>
              <w:jc w:val="center"/>
              <w:rPr>
                <w:lang w:eastAsia="ja-JP"/>
              </w:rPr>
            </w:pPr>
          </w:p>
        </w:tc>
        <w:tc>
          <w:tcPr>
            <w:tcW w:w="780" w:type="dxa"/>
            <w:shd w:val="clear" w:color="auto" w:fill="EBF1DE" w:themeFill="accent3" w:themeFillTint="32"/>
            <w:vAlign w:val="center"/>
          </w:tcPr>
          <w:p>
            <w:pPr>
              <w:shd w:val="clear" w:color="auto" w:fill="EBF1DE" w:themeFill="accent3" w:themeFillTint="32"/>
              <w:jc w:val="center"/>
              <w:rPr>
                <w:lang w:eastAsia="ja-JP"/>
              </w:rPr>
            </w:pPr>
          </w:p>
        </w:tc>
        <w:tc>
          <w:tcPr>
            <w:tcW w:w="780" w:type="dxa"/>
            <w:shd w:val="clear" w:color="auto" w:fill="EBF1DE" w:themeFill="accent3" w:themeFillTint="32"/>
            <w:vAlign w:val="center"/>
          </w:tcPr>
          <w:p>
            <w:pPr>
              <w:shd w:val="clear" w:color="auto" w:fill="EBF1DE" w:themeFill="accent3" w:themeFillTint="32"/>
              <w:jc w:val="center"/>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1B604C"/>
    <w:rsid w:val="31147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2021-12-06T09:07:07Z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