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许侃祥</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曹勇杰</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cs="宋体"/>
                <w:sz w:val="21"/>
                <w:szCs w:val="21"/>
                <w:lang w:val="en-US" w:eastAsia="zh-CN"/>
              </w:rPr>
              <w:t>7</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b w:val="0"/>
                <w:bCs w:val="0"/>
                <w:kern w:val="0"/>
                <w:sz w:val="21"/>
                <w:szCs w:val="21"/>
                <w:u w:val="none"/>
              </w:rPr>
              <w:t>5.3</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、6.1.2</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、6.1.3</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、6.2.1</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、6.2.2</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、6.1.4</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、7.2</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、7.3</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、7.5.1</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、7.5.2</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、7.5.3形成文件的信息的控制、8.1</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、8.2</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、9.1</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 xml:space="preserve">、9.2 </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、10.2</w:t>
            </w:r>
            <w:r>
              <w:rPr>
                <w:rFonts w:hint="eastAsia" w:ascii="宋体" w:hAnsi="宋体" w:cs="宋体"/>
                <w:b w:val="0"/>
                <w:bCs w:val="0"/>
                <w:kern w:val="0"/>
                <w:sz w:val="21"/>
                <w:szCs w:val="21"/>
                <w:u w:val="none"/>
                <w:lang w:val="en-US" w:eastAsia="zh-CN"/>
              </w:rPr>
              <w:t xml:space="preserve"> </w:t>
            </w:r>
            <w:r>
              <w:rPr>
                <w:rFonts w:hint="eastAsia" w:ascii="宋体" w:hAnsi="宋体" w:eastAsia="宋体" w:cs="宋体"/>
                <w:b w:val="0"/>
                <w:bCs w:val="0"/>
                <w:kern w:val="0"/>
                <w:sz w:val="21"/>
                <w:szCs w:val="21"/>
                <w:u w:val="none"/>
              </w:rPr>
              <w:t>，</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5.3</w:t>
            </w:r>
          </w:p>
        </w:tc>
        <w:tc>
          <w:tcPr>
            <w:tcW w:w="10606" w:type="dxa"/>
          </w:tcPr>
          <w:p>
            <w:pPr>
              <w:spacing w:before="215" w:beforeLines="69"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cs="宋体"/>
                <w:sz w:val="21"/>
                <w:szCs w:val="21"/>
                <w:lang w:val="en-US" w:eastAsia="zh-CN"/>
              </w:rPr>
              <w:t>负责人：</w:t>
            </w:r>
            <w:r>
              <w:rPr>
                <w:rFonts w:hint="eastAsia" w:ascii="宋体" w:hAnsi="宋体" w:eastAsia="宋体" w:cs="宋体"/>
                <w:sz w:val="21"/>
                <w:szCs w:val="21"/>
                <w:lang w:val="en-US" w:eastAsia="zh-CN"/>
              </w:rPr>
              <w:t>许侃祥</w:t>
            </w:r>
            <w:r>
              <w:rPr>
                <w:rFonts w:hint="eastAsia" w:ascii="宋体" w:hAnsi="宋体" w:cs="宋体"/>
                <w:sz w:val="21"/>
                <w:szCs w:val="21"/>
                <w:lang w:val="en-US" w:eastAsia="zh-CN"/>
              </w:rPr>
              <w:t>，</w:t>
            </w:r>
            <w:r>
              <w:rPr>
                <w:rFonts w:hint="eastAsia" w:ascii="宋体" w:hAnsi="宋体" w:eastAsia="宋体" w:cs="宋体"/>
                <w:sz w:val="21"/>
                <w:szCs w:val="21"/>
              </w:rPr>
              <w:t>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目标：</w:t>
            </w:r>
          </w:p>
          <w:p>
            <w:pPr>
              <w:autoSpaceDE w:val="0"/>
              <w:autoSpaceDN w:val="0"/>
              <w:spacing w:line="360" w:lineRule="auto"/>
              <w:ind w:firstLine="1260" w:firstLineChars="6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                       完成情况</w:t>
            </w:r>
          </w:p>
          <w:p>
            <w:pPr>
              <w:autoSpaceDE w:val="0"/>
              <w:autoSpaceDN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培训计划有效执行</w:t>
            </w:r>
            <w:r>
              <w:rPr>
                <w:rFonts w:hint="eastAsia" w:ascii="宋体" w:hAnsi="宋体" w:eastAsia="宋体" w:cs="宋体"/>
                <w:sz w:val="21"/>
                <w:szCs w:val="21"/>
              </w:rPr>
              <w:t>率达100%</w:t>
            </w:r>
            <w:r>
              <w:rPr>
                <w:rFonts w:hint="eastAsia" w:ascii="宋体" w:hAnsi="宋体" w:eastAsia="宋体" w:cs="宋体"/>
                <w:sz w:val="21"/>
                <w:szCs w:val="21"/>
                <w:lang w:val="en-US" w:eastAsia="zh-CN"/>
              </w:rPr>
              <w:t xml:space="preserve">              100%</w:t>
            </w:r>
          </w:p>
          <w:p>
            <w:pPr>
              <w:autoSpaceDE w:val="0"/>
              <w:autoSpaceDN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固体废弃物有效处理</w:t>
            </w:r>
            <w:r>
              <w:rPr>
                <w:rFonts w:hint="eastAsia" w:ascii="宋体" w:hAnsi="宋体" w:eastAsia="宋体" w:cs="宋体"/>
                <w:sz w:val="21"/>
                <w:szCs w:val="21"/>
              </w:rPr>
              <w:t xml:space="preserve">率达100% </w:t>
            </w:r>
            <w:r>
              <w:rPr>
                <w:rFonts w:hint="eastAsia" w:ascii="宋体" w:hAnsi="宋体" w:eastAsia="宋体" w:cs="宋体"/>
                <w:sz w:val="21"/>
                <w:szCs w:val="21"/>
                <w:lang w:val="en-US" w:eastAsia="zh-CN"/>
              </w:rPr>
              <w:t xml:space="preserve">           100%</w:t>
            </w:r>
          </w:p>
          <w:p>
            <w:pPr>
              <w:autoSpaceDE w:val="0"/>
              <w:autoSpaceDN w:val="0"/>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环保资金落实率90%                     100%</w:t>
            </w:r>
          </w:p>
          <w:p>
            <w:pPr>
              <w:autoSpaceDE w:val="0"/>
              <w:autoSpaceDN w:val="0"/>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经 2021.11.25 日</w:t>
            </w:r>
            <w:r>
              <w:rPr>
                <w:rFonts w:hint="eastAsia" w:ascii="宋体" w:hAnsi="宋体" w:eastAsia="宋体" w:cs="宋体"/>
                <w:color w:val="auto"/>
                <w:sz w:val="21"/>
                <w:szCs w:val="21"/>
              </w:rPr>
              <w:t>考核</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提供员工任职能力评价表，对28名员工在学历、培训经历、工作年限等方面进行评估，结果均为胜任。</w:t>
            </w:r>
          </w:p>
          <w:p>
            <w:pPr>
              <w:spacing w:line="360" w:lineRule="auto"/>
              <w:ind w:firstLine="420"/>
              <w:rPr>
                <w:rFonts w:hint="default" w:ascii="宋体" w:hAnsi="宋体" w:eastAsia="宋体" w:cs="宋体"/>
                <w:sz w:val="21"/>
                <w:szCs w:val="21"/>
                <w:lang w:val="en-US"/>
              </w:rPr>
            </w:pPr>
            <w:r>
              <w:rPr>
                <w:rFonts w:hint="eastAsia" w:ascii="宋体" w:hAnsi="宋体" w:eastAsia="宋体" w:cs="宋体"/>
                <w:sz w:val="21"/>
                <w:szCs w:val="21"/>
              </w:rPr>
              <w:t>查到“20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年度培训计划”，编制</w:t>
            </w:r>
            <w:r>
              <w:rPr>
                <w:rFonts w:hint="eastAsia" w:ascii="宋体" w:hAnsi="宋体" w:cs="宋体"/>
                <w:sz w:val="21"/>
                <w:szCs w:val="21"/>
                <w:lang w:eastAsia="zh-CN"/>
              </w:rPr>
              <w:t>：</w:t>
            </w:r>
            <w:r>
              <w:rPr>
                <w:rFonts w:hint="eastAsia" w:ascii="宋体" w:hAnsi="宋体" w:eastAsia="宋体" w:cs="宋体"/>
                <w:sz w:val="21"/>
                <w:szCs w:val="21"/>
                <w:lang w:val="en-US" w:eastAsia="zh-CN"/>
              </w:rPr>
              <w:t>许侃祥</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赵晓伟</w:t>
            </w:r>
            <w:r>
              <w:rPr>
                <w:rFonts w:hint="eastAsia" w:ascii="宋体" w:hAnsi="宋体" w:eastAsia="宋体" w:cs="宋体"/>
                <w:sz w:val="21"/>
                <w:szCs w:val="21"/>
              </w:rPr>
              <w:t>，日期20</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10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查到：《培训记录</w:t>
            </w:r>
            <w:r>
              <w:rPr>
                <w:rFonts w:hint="eastAsia" w:ascii="宋体" w:hAnsi="宋体" w:eastAsia="宋体" w:cs="宋体"/>
                <w:sz w:val="21"/>
                <w:szCs w:val="21"/>
                <w:lang w:val="en-US" w:eastAsia="zh-CN"/>
              </w:rPr>
              <w:t>与考评</w:t>
            </w:r>
            <w:r>
              <w:rPr>
                <w:rFonts w:hint="eastAsia" w:ascii="宋体" w:hAnsi="宋体" w:eastAsia="宋体" w:cs="宋体"/>
                <w:sz w:val="21"/>
                <w:szCs w:val="21"/>
              </w:rPr>
              <w:t>表》，20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23</w:t>
            </w:r>
            <w:r>
              <w:rPr>
                <w:rFonts w:hint="eastAsia" w:ascii="宋体" w:hAnsi="宋体" w:eastAsia="宋体" w:cs="宋体"/>
                <w:sz w:val="21"/>
                <w:szCs w:val="21"/>
              </w:rPr>
              <w:t>日环境</w:t>
            </w:r>
            <w:r>
              <w:rPr>
                <w:rFonts w:hint="eastAsia" w:ascii="宋体" w:hAnsi="宋体" w:cs="宋体"/>
                <w:sz w:val="21"/>
                <w:szCs w:val="21"/>
                <w:lang w:val="en-US" w:eastAsia="zh-CN"/>
              </w:rPr>
              <w:t>因素评价及控制</w:t>
            </w:r>
            <w:r>
              <w:rPr>
                <w:rFonts w:hint="eastAsia" w:ascii="宋体" w:hAnsi="宋体" w:eastAsia="宋体" w:cs="宋体"/>
                <w:sz w:val="21"/>
                <w:szCs w:val="21"/>
              </w:rPr>
              <w:t>培训，培训方式授课，有培训内容摘要，经现场讨论考核合格率100%</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val="en-US" w:eastAsia="zh-CN"/>
              </w:rPr>
              <w:t>30</w:t>
            </w:r>
            <w:r>
              <w:rPr>
                <w:rFonts w:hint="eastAsia" w:ascii="宋体" w:hAnsi="宋体" w:eastAsia="宋体" w:cs="宋体"/>
                <w:sz w:val="21"/>
                <w:szCs w:val="21"/>
              </w:rPr>
              <w:t>日</w:t>
            </w:r>
            <w:r>
              <w:rPr>
                <w:rFonts w:hint="eastAsia" w:ascii="宋体" w:hAnsi="宋体" w:cs="宋体"/>
                <w:sz w:val="21"/>
                <w:szCs w:val="21"/>
                <w:lang w:val="en-US" w:eastAsia="zh-CN"/>
              </w:rPr>
              <w:t>GB/T24001-2016标准</w:t>
            </w:r>
            <w:r>
              <w:rPr>
                <w:rFonts w:hint="eastAsia" w:ascii="宋体" w:hAnsi="宋体" w:eastAsia="宋体" w:cs="宋体"/>
                <w:sz w:val="21"/>
                <w:szCs w:val="21"/>
              </w:rPr>
              <w:t>培训，培训方式授课，有培训内容摘要，经现场讨论考核合格率100%</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29</w:t>
            </w:r>
            <w:r>
              <w:rPr>
                <w:rFonts w:hint="eastAsia" w:ascii="宋体" w:hAnsi="宋体" w:eastAsia="宋体" w:cs="宋体"/>
                <w:sz w:val="21"/>
                <w:szCs w:val="21"/>
              </w:rPr>
              <w:t>日</w:t>
            </w:r>
            <w:r>
              <w:rPr>
                <w:rFonts w:hint="eastAsia" w:ascii="宋体" w:hAnsi="宋体" w:cs="宋体"/>
                <w:sz w:val="21"/>
                <w:szCs w:val="21"/>
                <w:lang w:val="en-US" w:eastAsia="zh-CN"/>
              </w:rPr>
              <w:t>设备使用和维护保养知识</w:t>
            </w:r>
            <w:r>
              <w:rPr>
                <w:rFonts w:hint="eastAsia" w:ascii="宋体" w:hAnsi="宋体" w:eastAsia="宋体" w:cs="宋体"/>
                <w:sz w:val="21"/>
                <w:szCs w:val="21"/>
              </w:rPr>
              <w:t>，培训方式授课，有培训内容摘要，经现场讨论考核合格率100%。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查特种作业人员：提供叉车工资格证，姓名</w:t>
            </w:r>
            <w:r>
              <w:rPr>
                <w:rFonts w:hint="eastAsia" w:ascii="宋体" w:hAnsi="宋体" w:eastAsia="宋体" w:cs="宋体"/>
                <w:sz w:val="21"/>
                <w:szCs w:val="21"/>
                <w:lang w:val="en-US" w:eastAsia="zh-CN"/>
              </w:rPr>
              <w:t>赵红国</w:t>
            </w:r>
            <w:r>
              <w:rPr>
                <w:rFonts w:hint="eastAsia" w:ascii="宋体" w:hAnsi="宋体" w:eastAsia="宋体" w:cs="宋体"/>
                <w:sz w:val="21"/>
                <w:szCs w:val="21"/>
              </w:rPr>
              <w:t>，证件编号</w:t>
            </w:r>
            <w:r>
              <w:rPr>
                <w:rFonts w:hint="eastAsia" w:ascii="宋体" w:hAnsi="宋体" w:eastAsia="宋体" w:cs="宋体"/>
                <w:sz w:val="21"/>
                <w:szCs w:val="21"/>
                <w:lang w:val="en-US" w:eastAsia="zh-CN"/>
              </w:rPr>
              <w:t>610321198003112111</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23</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，发证</w:t>
            </w:r>
            <w:r>
              <w:rPr>
                <w:rFonts w:hint="eastAsia" w:ascii="宋体" w:hAnsi="宋体" w:eastAsia="宋体" w:cs="宋体"/>
                <w:sz w:val="21"/>
                <w:szCs w:val="21"/>
                <w:lang w:val="en-US" w:eastAsia="zh-CN"/>
              </w:rPr>
              <w:t>宝鸡市市场监督管理总局</w:t>
            </w:r>
            <w:r>
              <w:rPr>
                <w:rFonts w:hint="eastAsia" w:ascii="宋体" w:hAnsi="宋体" w:eastAsia="宋体" w:cs="宋体"/>
                <w:sz w:val="21"/>
                <w:szCs w:val="21"/>
              </w:rPr>
              <w:t>。</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特种作业操作证, 电工证 ，李忠民 ，</w:t>
            </w:r>
            <w:r>
              <w:rPr>
                <w:rFonts w:hint="eastAsia" w:ascii="宋体" w:hAnsi="宋体" w:eastAsia="宋体" w:cs="宋体"/>
                <w:sz w:val="21"/>
                <w:szCs w:val="21"/>
              </w:rPr>
              <w:t>证件编号</w:t>
            </w:r>
            <w:r>
              <w:rPr>
                <w:rFonts w:hint="eastAsia" w:ascii="宋体" w:hAnsi="宋体" w:cs="宋体"/>
                <w:sz w:val="21"/>
                <w:szCs w:val="21"/>
                <w:lang w:val="en-US" w:eastAsia="zh-CN"/>
              </w:rPr>
              <w:t>T</w:t>
            </w:r>
            <w:r>
              <w:rPr>
                <w:rFonts w:hint="eastAsia" w:ascii="宋体" w:hAnsi="宋体" w:eastAsia="宋体" w:cs="宋体"/>
                <w:sz w:val="21"/>
                <w:szCs w:val="21"/>
                <w:lang w:val="en-US" w:eastAsia="zh-CN"/>
              </w:rPr>
              <w:t>61032119</w:t>
            </w:r>
            <w:r>
              <w:rPr>
                <w:rFonts w:hint="eastAsia" w:ascii="宋体" w:hAnsi="宋体" w:cs="宋体"/>
                <w:sz w:val="21"/>
                <w:szCs w:val="21"/>
                <w:lang w:val="en-US" w:eastAsia="zh-CN"/>
              </w:rPr>
              <w:t>6603192136，</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23</w:t>
            </w:r>
            <w:r>
              <w:rPr>
                <w:rFonts w:hint="eastAsia" w:ascii="宋体" w:hAnsi="宋体" w:eastAsia="宋体" w:cs="宋体"/>
                <w:sz w:val="21"/>
                <w:szCs w:val="21"/>
              </w:rPr>
              <w:t>.</w:t>
            </w:r>
            <w:r>
              <w:rPr>
                <w:rFonts w:hint="eastAsia" w:ascii="宋体" w:hAnsi="宋体" w:cs="宋体"/>
                <w:sz w:val="21"/>
                <w:szCs w:val="21"/>
                <w:lang w:val="en-US" w:eastAsia="zh-CN"/>
              </w:rPr>
              <w:t>12.8</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7.5</w:t>
            </w:r>
          </w:p>
        </w:tc>
        <w:tc>
          <w:tcPr>
            <w:tcW w:w="10606" w:type="dxa"/>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组织策划的体系文件主要包括：《管理手册》，版本：A/0；《环境管理体系程序文件》版本：A/0，有作业指导书及检验规程，以及相关运行记录等。以上文件编制人：</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，审核人：</w:t>
            </w:r>
            <w:r>
              <w:rPr>
                <w:rFonts w:hint="eastAsia" w:ascii="宋体" w:hAnsi="宋体" w:eastAsia="宋体" w:cs="宋体"/>
                <w:sz w:val="21"/>
                <w:szCs w:val="21"/>
                <w:lang w:val="en-US" w:eastAsia="zh-CN"/>
              </w:rPr>
              <w:t>曹勇杰</w:t>
            </w:r>
            <w:r>
              <w:rPr>
                <w:rFonts w:hint="eastAsia" w:ascii="宋体" w:hAnsi="宋体" w:eastAsia="宋体" w:cs="宋体"/>
                <w:sz w:val="21"/>
                <w:szCs w:val="21"/>
              </w:rPr>
              <w:t>，批准人：</w:t>
            </w:r>
            <w:r>
              <w:rPr>
                <w:rFonts w:hint="eastAsia" w:ascii="宋体" w:hAnsi="宋体" w:eastAsia="宋体" w:cs="宋体"/>
                <w:sz w:val="21"/>
                <w:szCs w:val="21"/>
                <w:lang w:val="en-US" w:eastAsia="zh-CN"/>
              </w:rPr>
              <w:t>赵晓伟</w:t>
            </w:r>
            <w:r>
              <w:rPr>
                <w:rFonts w:hint="eastAsia" w:ascii="宋体" w:hAnsi="宋体" w:eastAsia="宋体" w:cs="宋体"/>
                <w:sz w:val="21"/>
                <w:szCs w:val="21"/>
              </w:rPr>
              <w:t>，发布实施日期2019年</w:t>
            </w:r>
            <w:r>
              <w:rPr>
                <w:rFonts w:hint="eastAsia" w:ascii="宋体" w:hAnsi="宋体" w:eastAsia="宋体" w:cs="宋体"/>
                <w:sz w:val="21"/>
                <w:szCs w:val="21"/>
                <w:lang w:val="en-US" w:eastAsia="zh-CN"/>
              </w:rPr>
              <w:t>6</w:t>
            </w:r>
            <w:r>
              <w:rPr>
                <w:rFonts w:hint="eastAsia" w:ascii="宋体" w:hAnsi="宋体" w:eastAsia="宋体" w:cs="宋体"/>
                <w:sz w:val="21"/>
                <w:szCs w:val="21"/>
              </w:rPr>
              <w:t>月1日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体系运行</w:t>
            </w:r>
            <w:r>
              <w:rPr>
                <w:rFonts w:hint="eastAsia" w:ascii="宋体" w:hAnsi="宋体" w:cs="宋体"/>
                <w:sz w:val="21"/>
                <w:szCs w:val="21"/>
                <w:lang w:val="en-US" w:eastAsia="zh-CN"/>
              </w:rPr>
              <w:t>以来</w:t>
            </w:r>
            <w:bookmarkStart w:id="1" w:name="_GoBack"/>
            <w:bookmarkEnd w:id="1"/>
            <w:r>
              <w:rPr>
                <w:rFonts w:hint="eastAsia" w:ascii="宋体" w:hAnsi="宋体" w:eastAsia="宋体" w:cs="宋体"/>
                <w:sz w:val="21"/>
                <w:szCs w:val="21"/>
                <w:lang w:val="en-US" w:eastAsia="zh-CN"/>
              </w:rPr>
              <w:t>，未曾更改。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提供了《文件发放/回收记录》，所有文件均由</w:t>
            </w:r>
            <w:r>
              <w:rPr>
                <w:rFonts w:hint="eastAsia" w:ascii="宋体" w:hAnsi="宋体" w:eastAsia="宋体" w:cs="宋体"/>
                <w:sz w:val="21"/>
                <w:szCs w:val="21"/>
                <w:lang w:val="en-US" w:eastAsia="zh-CN"/>
              </w:rPr>
              <w:t>综合管理</w:t>
            </w:r>
            <w:r>
              <w:rPr>
                <w:rFonts w:hint="eastAsia" w:ascii="宋体" w:hAnsi="宋体" w:eastAsia="宋体" w:cs="宋体"/>
                <w:sz w:val="21"/>
                <w:szCs w:val="21"/>
              </w:rPr>
              <w:t>发放，录有管理手册、程序、作业文件及标准、法律法规等外来文件。显示文件发放均有文件名称、编号、分发号、版本，发放/回收日期等。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负责通过到主管部门、网上收集、标准发布部门进行购买，并对外来文件的识别、跟踪、控制。查到：《法律法规清单》，有：</w:t>
            </w:r>
            <w:r>
              <w:rPr>
                <w:rFonts w:hint="eastAsia" w:ascii="宋体" w:hAnsi="宋体" w:eastAsia="宋体" w:cs="宋体"/>
                <w:sz w:val="21"/>
                <w:szCs w:val="21"/>
                <w:u w:val="none"/>
              </w:rPr>
              <w:t>环保法、消防法、节约能源法、危险废物贮存污染控制标准</w:t>
            </w:r>
            <w:r>
              <w:rPr>
                <w:rFonts w:hint="eastAsia" w:ascii="宋体" w:hAnsi="宋体" w:eastAsia="宋体" w:cs="宋体"/>
                <w:sz w:val="21"/>
                <w:szCs w:val="21"/>
              </w:rPr>
              <w:t>等法律法规和执行标准，外来文件管理符合要求。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查作废文件控制：体系文件运行以来文件未修改修订。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现场查阅了记录：《</w:t>
            </w:r>
            <w:r>
              <w:rPr>
                <w:rFonts w:hint="eastAsia" w:ascii="宋体" w:hAnsi="宋体" w:cs="宋体"/>
                <w:sz w:val="21"/>
                <w:szCs w:val="21"/>
                <w:lang w:val="en-US" w:eastAsia="zh-CN"/>
              </w:rPr>
              <w:t>环境法律、法规及其他要求清单</w:t>
            </w:r>
            <w:r>
              <w:rPr>
                <w:rFonts w:hint="eastAsia" w:ascii="宋体" w:hAnsi="宋体" w:eastAsia="宋体" w:cs="宋体"/>
                <w:sz w:val="21"/>
                <w:szCs w:val="21"/>
              </w:rPr>
              <w:t>》、《应急预案演练记录》、《内审报告》、《环境、安全检查记录》等体系运行记录，记录比较完整，内容规范全面，字迹清楚，有填表人、检查人等信息，易于检索，符合要求。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经了解，目前作废文件已销毁，由</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统一处理。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lang w:val="en-US" w:eastAsia="zh-CN"/>
              </w:rPr>
              <w:t>综合管理部</w:t>
            </w:r>
            <w:r>
              <w:rPr>
                <w:rFonts w:hint="eastAsia" w:ascii="宋体" w:hAnsi="宋体" w:eastAsia="宋体" w:cs="宋体"/>
                <w:bCs/>
                <w:sz w:val="21"/>
                <w:szCs w:val="21"/>
              </w:rPr>
              <w:t>作为环境管理体系的推进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sz w:val="21"/>
                <w:szCs w:val="21"/>
                <w:lang w:val="en-US" w:eastAsia="zh-CN"/>
              </w:rPr>
              <w:t>行政部</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采取多因子评价法进行了评价，查到“重要环境因素清单”，评价出固体废弃物排放、火灾事故的发生、</w:t>
            </w:r>
            <w:r>
              <w:rPr>
                <w:rFonts w:hint="eastAsia" w:ascii="宋体" w:hAnsi="宋体" w:eastAsia="宋体" w:cs="宋体"/>
                <w:sz w:val="21"/>
                <w:szCs w:val="21"/>
                <w:lang w:val="en-US" w:eastAsia="zh-CN"/>
              </w:rPr>
              <w:t>电能消耗、资源消耗</w:t>
            </w:r>
            <w:r>
              <w:rPr>
                <w:rFonts w:hint="eastAsia" w:ascii="宋体" w:hAnsi="宋体" w:eastAsia="宋体" w:cs="宋体"/>
                <w:sz w:val="21"/>
                <w:szCs w:val="21"/>
              </w:rPr>
              <w:t>4项重要环境因素。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经评价</w:t>
            </w:r>
            <w:r>
              <w:rPr>
                <w:rFonts w:hint="eastAsia" w:ascii="宋体" w:hAnsi="宋体" w:eastAsia="宋体" w:cs="宋体"/>
                <w:sz w:val="21"/>
                <w:szCs w:val="21"/>
                <w:lang w:val="en-US" w:eastAsia="zh-CN"/>
              </w:rPr>
              <w:t>行政部</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E6.1.3 </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编制了《法律法规和其他要求控制程序》，对法律法规的识别更新和应用进行规定，</w:t>
            </w:r>
            <w:r>
              <w:rPr>
                <w:rFonts w:hint="eastAsia" w:ascii="宋体" w:hAnsi="宋体" w:eastAsia="宋体" w:cs="宋体"/>
                <w:sz w:val="21"/>
                <w:szCs w:val="21"/>
                <w:lang w:val="en-US" w:eastAsia="zh-CN"/>
              </w:rPr>
              <w:t>行政部</w:t>
            </w:r>
            <w:r>
              <w:rPr>
                <w:rFonts w:hint="eastAsia" w:ascii="宋体" w:hAnsi="宋体" w:eastAsia="宋体" w:cs="宋体"/>
                <w:sz w:val="21"/>
                <w:szCs w:val="21"/>
              </w:rPr>
              <w:t>为主控部门。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宋体" w:hAnsi="宋体" w:eastAsia="宋体" w:cs="宋体"/>
                <w:sz w:val="21"/>
                <w:szCs w:val="21"/>
                <w:lang w:val="en-US" w:eastAsia="zh-CN"/>
              </w:rPr>
              <w:t>宝鸡</w:t>
            </w:r>
            <w:r>
              <w:rPr>
                <w:rFonts w:hint="eastAsia" w:ascii="宋体" w:hAnsi="宋体" w:eastAsia="宋体" w:cs="宋体"/>
                <w:sz w:val="21"/>
                <w:szCs w:val="21"/>
              </w:rPr>
              <w:t>市建设工程消防管理规定》、《</w:t>
            </w:r>
            <w:r>
              <w:rPr>
                <w:rFonts w:hint="eastAsia" w:ascii="宋体" w:hAnsi="宋体" w:eastAsia="宋体" w:cs="宋体"/>
                <w:sz w:val="21"/>
                <w:szCs w:val="21"/>
                <w:lang w:val="en-US" w:eastAsia="zh-CN"/>
              </w:rPr>
              <w:t>陕西</w:t>
            </w:r>
            <w:r>
              <w:rPr>
                <w:rFonts w:hint="eastAsia" w:ascii="宋体" w:hAnsi="宋体" w:eastAsia="宋体" w:cs="宋体"/>
                <w:sz w:val="21"/>
                <w:szCs w:val="21"/>
              </w:rPr>
              <w:t>省大气污染防治条例》等。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公司法律、法规及其它要求都有现行文本，大部分为电子版本。各部门如有需要到</w:t>
            </w:r>
            <w:r>
              <w:rPr>
                <w:rFonts w:hint="eastAsia" w:ascii="宋体" w:hAnsi="宋体" w:eastAsia="宋体" w:cs="宋体"/>
                <w:sz w:val="21"/>
                <w:szCs w:val="21"/>
                <w:lang w:val="en-US" w:eastAsia="zh-CN"/>
              </w:rPr>
              <w:t>行政部</w:t>
            </w:r>
            <w:r>
              <w:rPr>
                <w:rFonts w:hint="eastAsia" w:ascii="宋体" w:hAnsi="宋体" w:eastAsia="宋体" w:cs="宋体"/>
                <w:sz w:val="21"/>
                <w:szCs w:val="21"/>
              </w:rPr>
              <w:t>查阅。公司通过培训、会议等方式向有关员工传达法律、法规及其它要求的相关要求。</w:t>
            </w:r>
          </w:p>
          <w:p>
            <w:pPr>
              <w:spacing w:before="120" w:line="360" w:lineRule="auto"/>
              <w:rPr>
                <w:rFonts w:hint="eastAsia" w:ascii="宋体" w:hAnsi="宋体" w:eastAsia="宋体" w:cs="宋体"/>
                <w:sz w:val="21"/>
                <w:szCs w:val="21"/>
              </w:rPr>
            </w:pPr>
            <w:r>
              <w:rPr>
                <w:rFonts w:hint="eastAsia" w:ascii="方正仿宋简体" w:hAnsi="Times New Roman" w:eastAsia="方正仿宋简体" w:cs="Times New Roman"/>
                <w:b/>
                <w:lang w:val="en-US" w:eastAsia="zh-CN"/>
              </w:rPr>
              <w:t>提供的</w:t>
            </w:r>
            <w:r>
              <w:rPr>
                <w:rFonts w:hint="eastAsia" w:ascii="方正仿宋简体" w:hAnsi="Times New Roman" w:eastAsia="方正仿宋简体" w:cs="Times New Roman"/>
                <w:b/>
              </w:rPr>
              <w:t>《</w:t>
            </w:r>
            <w:r>
              <w:rPr>
                <w:rFonts w:hint="eastAsia" w:ascii="方正仿宋简体" w:hAnsi="Times New Roman" w:eastAsia="方正仿宋简体" w:cs="Times New Roman"/>
                <w:b/>
                <w:lang w:val="en-US" w:eastAsia="zh-CN"/>
              </w:rPr>
              <w:t>环境</w:t>
            </w:r>
            <w:r>
              <w:rPr>
                <w:rFonts w:hint="eastAsia" w:ascii="方正仿宋简体" w:hAnsi="Times New Roman" w:eastAsia="方正仿宋简体" w:cs="Times New Roman"/>
                <w:b/>
              </w:rPr>
              <w:t>法律</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rPr>
              <w:t>法规和其他要求清单》</w:t>
            </w:r>
            <w:r>
              <w:rPr>
                <w:rFonts w:hint="eastAsia" w:ascii="方正仿宋简体" w:hAnsi="Times New Roman" w:eastAsia="方正仿宋简体" w:cs="Times New Roman"/>
                <w:b/>
                <w:lang w:val="en-US" w:eastAsia="zh-CN"/>
              </w:rPr>
              <w:t>中</w:t>
            </w:r>
            <w:r>
              <w:rPr>
                <w:rFonts w:hint="eastAsia" w:ascii="方正仿宋简体" w:hAnsi="Times New Roman" w:eastAsia="方正仿宋简体" w:cs="Times New Roman"/>
                <w:b/>
              </w:rPr>
              <w:t>《中华人民共和国</w:t>
            </w:r>
            <w:r>
              <w:rPr>
                <w:rFonts w:hint="eastAsia" w:ascii="方正仿宋简体" w:hAnsi="Times New Roman" w:eastAsia="方正仿宋简体" w:cs="Times New Roman"/>
                <w:b/>
                <w:lang w:val="en-US" w:eastAsia="zh-CN"/>
              </w:rPr>
              <w:t>固体废物污染环境防治法</w:t>
            </w:r>
            <w:r>
              <w:rPr>
                <w:rFonts w:hint="eastAsia" w:ascii="方正仿宋简体" w:hAnsi="Times New Roman" w:eastAsia="方正仿宋简体" w:cs="Times New Roman"/>
                <w:b/>
              </w:rPr>
              <w:t>》</w:t>
            </w:r>
            <w:r>
              <w:rPr>
                <w:rFonts w:hint="eastAsia" w:ascii="方正仿宋简体" w:hAnsi="Times New Roman" w:eastAsia="方正仿宋简体" w:cs="Times New Roman"/>
                <w:b/>
                <w:lang w:val="en-US" w:eastAsia="zh-CN"/>
              </w:rPr>
              <w:t>不是最新有效版本。</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赵晓伟、闫高强、曹勇杰、赵利峰、许侃祥、赵国宝</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评价日期：2021年6月23日。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w:t>
            </w:r>
            <w:r>
              <w:rPr>
                <w:rFonts w:hint="eastAsia" w:ascii="宋体" w:hAnsi="宋体" w:eastAsia="宋体" w:cs="宋体"/>
                <w:color w:val="auto"/>
                <w:sz w:val="21"/>
                <w:szCs w:val="21"/>
                <w:lang w:val="en-US" w:eastAsia="zh-CN"/>
              </w:rPr>
              <w:t>2021.11.25 日</w:t>
            </w:r>
            <w:r>
              <w:rPr>
                <w:rFonts w:hint="eastAsia" w:ascii="宋体" w:hAnsi="宋体" w:eastAsia="宋体" w:cs="宋体"/>
                <w:sz w:val="21"/>
                <w:szCs w:val="21"/>
              </w:rPr>
              <w:t>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查到“环境目标、指标目标与管理方案及</w:t>
            </w:r>
            <w:r>
              <w:rPr>
                <w:rFonts w:hint="eastAsia" w:ascii="宋体" w:hAnsi="宋体" w:eastAsia="宋体" w:cs="宋体"/>
                <w:sz w:val="21"/>
                <w:szCs w:val="21"/>
                <w:lang w:val="en-US" w:eastAsia="zh-CN"/>
              </w:rPr>
              <w:t>检查</w:t>
            </w:r>
            <w:r>
              <w:rPr>
                <w:rFonts w:hint="eastAsia" w:ascii="宋体" w:hAnsi="宋体" w:eastAsia="宋体" w:cs="宋体"/>
                <w:sz w:val="21"/>
                <w:szCs w:val="21"/>
              </w:rPr>
              <w:t>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其他的正在实施，</w:t>
            </w:r>
            <w:r>
              <w:rPr>
                <w:rFonts w:hint="eastAsia" w:ascii="宋体" w:hAnsi="宋体" w:eastAsia="宋体" w:cs="宋体"/>
                <w:sz w:val="21"/>
                <w:szCs w:val="21"/>
              </w:rPr>
              <w:t>考核人</w:t>
            </w:r>
            <w:r>
              <w:rPr>
                <w:rFonts w:hint="eastAsia" w:ascii="宋体" w:hAnsi="宋体" w:eastAsia="宋体" w:cs="宋体"/>
                <w:sz w:val="21"/>
                <w:szCs w:val="21"/>
                <w:lang w:val="en-US" w:eastAsia="zh-CN"/>
              </w:rPr>
              <w:t>许侃祥</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查到《环境、安全检查记录》，检查项目内容涉及：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车间</w:t>
            </w:r>
            <w:r>
              <w:rPr>
                <w:rFonts w:hint="eastAsia" w:ascii="宋体" w:hAnsi="宋体" w:eastAsia="宋体" w:cs="宋体"/>
                <w:sz w:val="21"/>
                <w:szCs w:val="21"/>
              </w:rPr>
              <w:t>/办公/生活区域卫生是否清理干净，危废收集情况；操作工是否配戴劳保用品情况；设备操作工是否按设备操作规程作业；</w:t>
            </w:r>
            <w:r>
              <w:rPr>
                <w:rFonts w:hint="eastAsia" w:ascii="宋体" w:hAnsi="宋体" w:eastAsia="宋体" w:cs="宋体"/>
                <w:sz w:val="21"/>
                <w:szCs w:val="21"/>
                <w:lang w:val="en-US" w:eastAsia="zh-CN"/>
              </w:rPr>
              <w:t>特殊</w:t>
            </w:r>
            <w:r>
              <w:rPr>
                <w:rFonts w:hint="eastAsia" w:ascii="宋体" w:hAnsi="宋体" w:eastAsia="宋体" w:cs="宋体"/>
                <w:sz w:val="21"/>
                <w:szCs w:val="21"/>
              </w:rPr>
              <w:t>工</w:t>
            </w:r>
            <w:r>
              <w:rPr>
                <w:rFonts w:hint="eastAsia" w:ascii="宋体" w:hAnsi="宋体" w:eastAsia="宋体" w:cs="宋体"/>
                <w:sz w:val="21"/>
                <w:szCs w:val="21"/>
                <w:lang w:val="en-US" w:eastAsia="zh-CN"/>
              </w:rPr>
              <w:t>种</w:t>
            </w:r>
            <w:r>
              <w:rPr>
                <w:rFonts w:hint="eastAsia" w:ascii="宋体" w:hAnsi="宋体" w:eastAsia="宋体" w:cs="宋体"/>
                <w:sz w:val="21"/>
                <w:szCs w:val="21"/>
              </w:rPr>
              <w:t>是否持证上岗；生产安全用电情况：消防设施是否完好，消防通道是否畅通等。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年二季度</w:t>
            </w:r>
            <w:r>
              <w:rPr>
                <w:rFonts w:hint="eastAsia" w:ascii="宋体" w:hAnsi="宋体" w:eastAsia="宋体" w:cs="宋体"/>
                <w:sz w:val="21"/>
                <w:szCs w:val="21"/>
              </w:rPr>
              <w:t>、</w:t>
            </w:r>
            <w:r>
              <w:rPr>
                <w:rFonts w:hint="eastAsia" w:ascii="宋体" w:hAnsi="宋体" w:eastAsia="宋体" w:cs="宋体"/>
                <w:sz w:val="21"/>
                <w:szCs w:val="21"/>
                <w:lang w:val="en-US" w:eastAsia="zh-CN"/>
              </w:rPr>
              <w:t>三季度环保安全日常检查记录，</w:t>
            </w:r>
            <w:r>
              <w:rPr>
                <w:rFonts w:hint="eastAsia" w:ascii="宋体" w:hAnsi="宋体" w:eastAsia="宋体" w:cs="宋体"/>
                <w:sz w:val="21"/>
                <w:szCs w:val="21"/>
              </w:rPr>
              <w:t>检查结果均正常，检查人</w:t>
            </w:r>
            <w:r>
              <w:rPr>
                <w:rFonts w:hint="eastAsia" w:ascii="宋体" w:hAnsi="宋体" w:eastAsia="宋体" w:cs="宋体"/>
                <w:sz w:val="21"/>
                <w:szCs w:val="21"/>
                <w:lang w:val="en-US" w:eastAsia="zh-CN"/>
              </w:rPr>
              <w:t>闫高强</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表”，检查项目内容涉及：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1-11月</w:t>
            </w:r>
            <w:r>
              <w:rPr>
                <w:rFonts w:hint="eastAsia" w:ascii="宋体" w:hAnsi="宋体" w:eastAsia="宋体" w:cs="宋体"/>
                <w:sz w:val="21"/>
                <w:szCs w:val="21"/>
              </w:rPr>
              <w:t>检查结果均正常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检查人：赵利峰</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pStyle w:val="8"/>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提供了202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陕西</w:t>
            </w:r>
            <w:r>
              <w:rPr>
                <w:rFonts w:hint="eastAsia" w:ascii="宋体" w:hAnsi="宋体" w:cs="宋体"/>
                <w:sz w:val="21"/>
                <w:szCs w:val="21"/>
                <w:lang w:val="en-US" w:eastAsia="zh-CN"/>
              </w:rPr>
              <w:t>中天环保科技有限公司</w:t>
            </w:r>
            <w:r>
              <w:rPr>
                <w:rFonts w:hint="eastAsia" w:ascii="宋体" w:hAnsi="宋体" w:eastAsia="宋体" w:cs="宋体"/>
                <w:sz w:val="21"/>
                <w:szCs w:val="21"/>
              </w:rPr>
              <w:t>监测报告，检测项目：废气、</w:t>
            </w:r>
            <w:r>
              <w:rPr>
                <w:rFonts w:hint="eastAsia" w:ascii="宋体" w:hAnsi="宋体" w:cs="宋体"/>
                <w:sz w:val="21"/>
                <w:szCs w:val="21"/>
                <w:lang w:val="en-US" w:eastAsia="zh-CN"/>
              </w:rPr>
              <w:t>废水、</w:t>
            </w:r>
            <w:r>
              <w:rPr>
                <w:rFonts w:hint="eastAsia" w:ascii="宋体" w:hAnsi="宋体" w:eastAsia="宋体" w:cs="宋体"/>
                <w:sz w:val="21"/>
                <w:szCs w:val="21"/>
              </w:rPr>
              <w:t>噪</w:t>
            </w:r>
            <w:r>
              <w:rPr>
                <w:rFonts w:hint="eastAsia" w:ascii="宋体" w:hAnsi="宋体" w:cs="宋体"/>
                <w:sz w:val="21"/>
                <w:szCs w:val="21"/>
                <w:lang w:val="en-US" w:eastAsia="zh-CN"/>
              </w:rPr>
              <w:t>声</w:t>
            </w:r>
            <w:r>
              <w:rPr>
                <w:rFonts w:hint="eastAsia" w:ascii="宋体" w:hAnsi="宋体" w:eastAsia="宋体" w:cs="宋体"/>
                <w:sz w:val="21"/>
                <w:szCs w:val="21"/>
              </w:rPr>
              <w:t>，检测结果：合格。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企业位于</w:t>
            </w:r>
            <w:bookmarkStart w:id="0" w:name="生产地址"/>
            <w:r>
              <w:rPr>
                <w:rFonts w:hint="eastAsia" w:ascii="宋体" w:hAnsi="宋体" w:eastAsia="宋体" w:cs="宋体"/>
                <w:sz w:val="21"/>
                <w:szCs w:val="21"/>
              </w:rPr>
              <w:t>陕西省宝鸡市高新开发区钓渭镇朱家滩村</w:t>
            </w:r>
            <w:bookmarkEnd w:id="0"/>
            <w:r>
              <w:rPr>
                <w:rFonts w:hint="eastAsia" w:ascii="宋体" w:hAnsi="宋体" w:eastAsia="宋体" w:cs="宋体"/>
                <w:sz w:val="21"/>
                <w:szCs w:val="21"/>
              </w:rPr>
              <w:t>，公司四周是其他企业或居民，无重大敏感区，根据体系运行的需要设置了车间、仓库、办公楼。</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w:t>
            </w:r>
            <w:r>
              <w:rPr>
                <w:rFonts w:hint="eastAsia" w:ascii="宋体" w:hAnsi="宋体" w:eastAsia="宋体" w:cs="宋体"/>
                <w:sz w:val="21"/>
                <w:szCs w:val="21"/>
                <w:lang w:val="en-US" w:eastAsia="zh-CN"/>
              </w:rPr>
              <w:t>6</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月公司</w:t>
            </w:r>
            <w:r>
              <w:rPr>
                <w:rFonts w:hint="eastAsia" w:ascii="宋体" w:hAnsi="宋体" w:eastAsia="宋体" w:cs="宋体"/>
                <w:sz w:val="21"/>
                <w:szCs w:val="21"/>
                <w:lang w:val="en-US" w:eastAsia="zh-CN"/>
              </w:rPr>
              <w:t>年产2000吨齿轮锻件</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宝鸡市环境保护局高新分局高新环函（2016）249号“关于宝鸡市东兴锻造有限公司年产2000吨齿轮锻件</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申请备案的意见”</w:t>
            </w:r>
            <w:r>
              <w:rPr>
                <w:rFonts w:hint="eastAsia" w:ascii="宋体" w:hAnsi="宋体" w:eastAsia="宋体" w:cs="宋体"/>
                <w:sz w:val="21"/>
                <w:szCs w:val="21"/>
              </w:rPr>
              <w:t>，企业环评已经过验收。</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2020年初改扩建新增用地1200m新建车间及办公楼。总占地面积由5000m增大至6200m',建筑面积由2500m增大至5000m,年加工生产齿轮5000t/a。</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提供2019.9,宝鸡市东兴锻造有限公司二期技改扩建项目《建设项目环境影响报告表》、2020年8月《宝鸡市东兴锻造有限公司二期技改扩建项目竣工环境保护验收监测报告》、宝鸡市环境保护局高新分局 高新环函（2020）110号“宝鸡市环境保护局高新分局关于宝鸡市东兴锻造有限公司二期技改扩建项目环境影响报告表的批复”。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环评</w:t>
            </w:r>
            <w:r>
              <w:rPr>
                <w:rFonts w:hint="eastAsia" w:ascii="宋体" w:hAnsi="宋体" w:eastAsia="宋体" w:cs="宋体"/>
                <w:sz w:val="21"/>
                <w:szCs w:val="21"/>
              </w:rPr>
              <w:t>等，运行至今支出约</w:t>
            </w:r>
            <w:r>
              <w:rPr>
                <w:rFonts w:hint="eastAsia" w:ascii="宋体" w:hAnsi="宋体" w:eastAsia="宋体" w:cs="宋体"/>
                <w:sz w:val="21"/>
                <w:szCs w:val="21"/>
                <w:lang w:val="en-US" w:eastAsia="zh-CN"/>
              </w:rPr>
              <w:t>8</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总经理赵晓伟与公司责任单位、部门签订的安全环保责任书。</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提供废弃物登记和处理记录表，废金属由宝鸡市宏录物资有限公司处置、废机油等均由陕西宝鸡恒兴石化科技有限公司处置。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提供废弃物登记和处理记录表、污水转移处理协议以及危险废物处置合同书。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提供《宝鸡市东兴锻造有限公司突发环境事件应急预案》，</w:t>
            </w:r>
            <w:r>
              <w:rPr>
                <w:rFonts w:hint="eastAsia" w:ascii="宋体" w:hAnsi="宋体" w:cs="宋体"/>
                <w:color w:val="auto"/>
                <w:sz w:val="21"/>
                <w:szCs w:val="21"/>
                <w:lang w:val="en-US" w:eastAsia="zh-CN"/>
              </w:rPr>
              <w:t>《机械伤害事故专项应急预案》、《火灾事故专项应急预案》、《触电事故专项应急预案》</w:t>
            </w:r>
            <w:r>
              <w:rPr>
                <w:rFonts w:hint="eastAsia" w:ascii="宋体" w:hAnsi="宋体" w:eastAsia="宋体" w:cs="宋体"/>
                <w:sz w:val="21"/>
                <w:szCs w:val="21"/>
              </w:rPr>
              <w:t>，包含有事件级别及不同级别事件的处理程序、事件处理组织机构及职责分工、通用及特殊处理程序、各岗位要求等。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应急预案演练记录</w:t>
            </w:r>
            <w:r>
              <w:rPr>
                <w:rFonts w:hint="eastAsia" w:ascii="宋体" w:hAnsi="宋体" w:eastAsia="宋体" w:cs="宋体"/>
                <w:color w:val="auto"/>
                <w:sz w:val="21"/>
                <w:szCs w:val="21"/>
                <w:lang w:val="en-US" w:eastAsia="zh-CN"/>
              </w:rPr>
              <w:t>及照片</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进行了消防应急演练，并进行了评价</w:t>
            </w:r>
            <w:r>
              <w:rPr>
                <w:rFonts w:hint="eastAsia" w:ascii="宋体" w:hAnsi="宋体" w:eastAsia="宋体" w:cs="宋体"/>
                <w:color w:val="auto"/>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color w:val="auto"/>
                <w:sz w:val="21"/>
                <w:szCs w:val="21"/>
                <w:lang w:val="en-US" w:eastAsia="zh-CN"/>
              </w:rPr>
              <w:t>提供</w:t>
            </w:r>
            <w:r>
              <w:rPr>
                <w:rFonts w:hint="eastAsia" w:ascii="宋体" w:hAnsi="宋体" w:cs="宋体"/>
                <w:color w:val="auto"/>
                <w:sz w:val="21"/>
                <w:szCs w:val="21"/>
                <w:lang w:val="en-US" w:eastAsia="zh-CN"/>
              </w:rPr>
              <w:t>机械伤害事故应急预案演习记录、触电事故应急演习记录，对演练目的、内容、演练实施情况、效果评价、存在问题及改进措施进行了记录。</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tabs>
                <w:tab w:val="left" w:pos="6597"/>
              </w:tabs>
              <w:spacing w:line="360" w:lineRule="auto"/>
              <w:rPr>
                <w:rFonts w:hint="eastAsia" w:ascii="宋体" w:hAnsi="宋体" w:eastAsia="宋体" w:cs="宋体"/>
                <w:sz w:val="21"/>
                <w:szCs w:val="21"/>
              </w:rPr>
            </w:pPr>
            <w:r>
              <w:rPr>
                <w:sz w:val="28"/>
                <w:szCs w:val="28"/>
              </w:rPr>
              <w:drawing>
                <wp:anchor distT="0" distB="0" distL="114300" distR="114300" simplePos="0" relativeHeight="251660288" behindDoc="0" locked="0" layoutInCell="1" allowOverlap="1">
                  <wp:simplePos x="0" y="0"/>
                  <wp:positionH relativeFrom="column">
                    <wp:posOffset>2222500</wp:posOffset>
                  </wp:positionH>
                  <wp:positionV relativeFrom="paragraph">
                    <wp:posOffset>271145</wp:posOffset>
                  </wp:positionV>
                  <wp:extent cx="1975485" cy="1485265"/>
                  <wp:effectExtent l="0" t="0" r="5715"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975485" cy="1485265"/>
                          </a:xfrm>
                          <a:prstGeom prst="rect">
                            <a:avLst/>
                          </a:prstGeom>
                          <a:noFill/>
                          <a:ln>
                            <a:noFill/>
                          </a:ln>
                        </pic:spPr>
                      </pic:pic>
                    </a:graphicData>
                  </a:graphic>
                </wp:anchor>
              </w:drawing>
            </w:r>
            <w:r>
              <w:rPr>
                <w:sz w:val="28"/>
                <w:szCs w:val="28"/>
              </w:rPr>
              <w:drawing>
                <wp:anchor distT="0" distB="0" distL="114300" distR="114300" simplePos="0" relativeHeight="251659264" behindDoc="0" locked="0" layoutInCell="1" allowOverlap="1">
                  <wp:simplePos x="0" y="0"/>
                  <wp:positionH relativeFrom="column">
                    <wp:posOffset>139700</wp:posOffset>
                  </wp:positionH>
                  <wp:positionV relativeFrom="paragraph">
                    <wp:posOffset>266700</wp:posOffset>
                  </wp:positionV>
                  <wp:extent cx="1985645" cy="1489075"/>
                  <wp:effectExtent l="0" t="0" r="8255"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985645" cy="1489075"/>
                          </a:xfrm>
                          <a:prstGeom prst="rect">
                            <a:avLst/>
                          </a:prstGeom>
                          <a:noFill/>
                          <a:ln>
                            <a:noFill/>
                          </a:ln>
                        </pic:spPr>
                      </pic:pic>
                    </a:graphicData>
                  </a:graphic>
                </wp:anchor>
              </w:drawing>
            </w:r>
            <w:r>
              <w:rPr>
                <w:rFonts w:hint="eastAsia" w:ascii="宋体" w:hAnsi="宋体" w:eastAsia="宋体" w:cs="宋体"/>
                <w:sz w:val="21"/>
                <w:szCs w:val="21"/>
              </w:rPr>
              <w:t>自体系运行以来尚未发生紧急情况。</w:t>
            </w:r>
          </w:p>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lang w:eastAsia="zh-CN"/>
              </w:rPr>
            </w:pPr>
          </w:p>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ind w:firstLine="210" w:firstLineChars="10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闫高强</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闫高强</w:t>
            </w:r>
            <w:r>
              <w:rPr>
                <w:rFonts w:hint="eastAsia" w:ascii="宋体" w:hAnsi="宋体" w:eastAsia="宋体" w:cs="宋体"/>
                <w:sz w:val="21"/>
                <w:szCs w:val="21"/>
              </w:rPr>
              <w:t>、组员</w:t>
            </w:r>
            <w:r>
              <w:rPr>
                <w:rFonts w:hint="eastAsia" w:ascii="宋体" w:hAnsi="宋体" w:eastAsia="宋体" w:cs="宋体"/>
                <w:sz w:val="21"/>
                <w:szCs w:val="21"/>
                <w:lang w:val="en-US" w:eastAsia="zh-CN"/>
              </w:rPr>
              <w:t>曹勇杰</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2021年11月10-11</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2.审核按计划进行，抽查检查表综合管理部、生产部审核记录与计划相一致，内审员经内部培训合格，能力还需加强；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0FC90975"/>
    <w:rsid w:val="101C679D"/>
    <w:rsid w:val="108219C2"/>
    <w:rsid w:val="11244A4F"/>
    <w:rsid w:val="15DB77AE"/>
    <w:rsid w:val="16645E7C"/>
    <w:rsid w:val="19B948A2"/>
    <w:rsid w:val="19D00607"/>
    <w:rsid w:val="1C4342E4"/>
    <w:rsid w:val="21782CF5"/>
    <w:rsid w:val="2481550B"/>
    <w:rsid w:val="27927A63"/>
    <w:rsid w:val="294B6CAF"/>
    <w:rsid w:val="2D39602A"/>
    <w:rsid w:val="320B56C1"/>
    <w:rsid w:val="335D1C5D"/>
    <w:rsid w:val="34834C15"/>
    <w:rsid w:val="39E33113"/>
    <w:rsid w:val="401624FA"/>
    <w:rsid w:val="43223F59"/>
    <w:rsid w:val="4A124191"/>
    <w:rsid w:val="4F3B4B55"/>
    <w:rsid w:val="50A242C0"/>
    <w:rsid w:val="519E1AF0"/>
    <w:rsid w:val="53322D5A"/>
    <w:rsid w:val="569129EC"/>
    <w:rsid w:val="56AE391F"/>
    <w:rsid w:val="5EA12B9A"/>
    <w:rsid w:val="5F3953E0"/>
    <w:rsid w:val="5FE97E22"/>
    <w:rsid w:val="623349D5"/>
    <w:rsid w:val="63701629"/>
    <w:rsid w:val="63CD6F63"/>
    <w:rsid w:val="66760861"/>
    <w:rsid w:val="6B7935B7"/>
    <w:rsid w:val="70F63BBC"/>
    <w:rsid w:val="7CB0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4</TotalTime>
  <ScaleCrop>false</ScaleCrop>
  <LinksUpToDate>false</LinksUpToDate>
  <CharactersWithSpaces>9979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2021-12-07T09:01:03Z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0CFBDD6A64334A8B9B815D010B9DDB8A</vt:lpwstr>
  </property>
</Properties>
</file>