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0785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山东高强紧固件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25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0328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25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山东高强紧固件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文动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刘复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刘京胜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6日下午至2025年06月27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6日下午至2025年06月27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909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