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成都易信达科技股份有限公司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0216-2020-2021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0216-2020-2021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000"/>
        <w:gridCol w:w="153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0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成都易信达科技股份有限公司</w:t>
            </w:r>
            <w:bookmarkEnd w:id="4"/>
          </w:p>
        </w:tc>
        <w:tc>
          <w:tcPr>
            <w:tcW w:w="15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84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徐大勇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0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ISC-2020-0838</w:t>
            </w:r>
            <w:bookmarkEnd w:id="6"/>
          </w:p>
        </w:tc>
        <w:tc>
          <w:tcPr>
            <w:tcW w:w="15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84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2025-11-12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00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5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841"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2021年11月30日 上午</w:t>
            </w:r>
            <w:bookmarkEnd w:id="9"/>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000"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孙保健</w:t>
            </w:r>
            <w:r>
              <w:rPr>
                <w:rFonts w:ascii="宋体" w:hAnsi="宋体"/>
                <w:color w:val="000000"/>
                <w:szCs w:val="21"/>
                <w:shd w:val="pct10" w:color="auto" w:fill="FFFFFF"/>
              </w:rPr>
              <w:t>2020-M1MMS-12743</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胡琳</w:t>
            </w:r>
            <w:r>
              <w:rPr>
                <w:rFonts w:ascii="宋体" w:hAnsi="宋体"/>
                <w:color w:val="000000"/>
                <w:szCs w:val="21"/>
                <w:shd w:val="pct10" w:color="auto" w:fill="FFFFFF"/>
              </w:rPr>
              <w:t>022019-M1MMS-1274448</w:t>
            </w:r>
          </w:p>
        </w:tc>
        <w:tc>
          <w:tcPr>
            <w:tcW w:w="15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4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color w:val="000000"/>
                <w:sz w:val="21"/>
                <w:szCs w:val="21"/>
                <w:lang w:val="en-US" w:eastAsia="zh-CN"/>
              </w:rPr>
              <w:t>技术质量部.检测中心、智能制造部、研发部、市场部、物流部、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11</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13</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9</w:t>
      </w:r>
      <w:r>
        <w:rPr>
          <w:rFonts w:hint="eastAsia" w:ascii="宋体" w:hAnsi="宋体"/>
          <w:bCs/>
          <w:color w:val="000000" w:themeColor="text1"/>
          <w:szCs w:val="21"/>
        </w:rPr>
        <w:t>个部门进行了全要素的审核，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2</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09</w:t>
      </w:r>
      <w:r>
        <w:rPr>
          <w:rFonts w:hint="eastAsia" w:ascii="宋体" w:hAnsi="宋体"/>
          <w:bCs/>
          <w:color w:val="000000" w:themeColor="text1"/>
          <w:szCs w:val="21"/>
        </w:rPr>
        <w:t>月</w:t>
      </w:r>
      <w:r>
        <w:rPr>
          <w:rFonts w:hint="eastAsia" w:ascii="宋体" w:hAnsi="宋体"/>
          <w:bCs/>
          <w:color w:val="000000" w:themeColor="text1"/>
          <w:szCs w:val="21"/>
          <w:lang w:val="en-US" w:eastAsia="zh-CN"/>
        </w:rPr>
        <w:t>18</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2021</w:t>
      </w:r>
      <w:r>
        <w:rPr>
          <w:rFonts w:hint="eastAsia"/>
          <w:color w:val="000000" w:themeColor="text1"/>
          <w:szCs w:val="21"/>
        </w:rPr>
        <w:t>年</w:t>
      </w:r>
      <w:r>
        <w:rPr>
          <w:rFonts w:hint="eastAsia"/>
          <w:color w:val="000000" w:themeColor="text1"/>
          <w:szCs w:val="21"/>
          <w:lang w:val="en-US" w:eastAsia="zh-CN"/>
        </w:rPr>
        <w:t>09</w:t>
      </w:r>
      <w:r>
        <w:rPr>
          <w:rFonts w:hint="eastAsia"/>
          <w:color w:val="000000" w:themeColor="text1"/>
          <w:szCs w:val="21"/>
        </w:rPr>
        <w:t>月</w:t>
      </w:r>
      <w:r>
        <w:rPr>
          <w:rFonts w:hint="eastAsia"/>
          <w:color w:val="000000" w:themeColor="text1"/>
          <w:szCs w:val="21"/>
          <w:lang w:val="en-US" w:eastAsia="zh-CN"/>
        </w:rPr>
        <w:t>20</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ascii="宋体" w:hAnsi="宋体" w:cs="宋体"/>
          <w:kern w:val="0"/>
          <w:szCs w:val="21"/>
          <w:lang w:val="en-US" w:eastAsia="zh-CN"/>
        </w:rPr>
        <w:t>彭国宾</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徐大勇</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ascii="宋体" w:hAnsi="宋体"/>
          <w:b w:val="0"/>
          <w:bCs/>
          <w:sz w:val="21"/>
          <w:szCs w:val="21"/>
          <w:lang w:val="en-US" w:eastAsia="zh-CN"/>
        </w:rPr>
        <w:t>水表</w:t>
      </w:r>
      <w:r>
        <w:rPr>
          <w:rFonts w:hint="eastAsia" w:ascii="宋体" w:hAnsi="宋体"/>
          <w:b w:val="0"/>
          <w:bCs/>
          <w:sz w:val="21"/>
          <w:szCs w:val="21"/>
          <w:lang w:eastAsia="zh-CN"/>
        </w:rPr>
        <w:t>基表</w:t>
      </w:r>
      <w:r>
        <w:rPr>
          <w:rFonts w:hint="eastAsia"/>
          <w:b w:val="0"/>
          <w:bCs/>
          <w:sz w:val="21"/>
          <w:szCs w:val="21"/>
          <w:lang w:val="en-US" w:eastAsia="zh-CN"/>
        </w:rPr>
        <w:t>压力密封</w:t>
      </w:r>
      <w:r>
        <w:rPr>
          <w:rFonts w:hint="eastAsia"/>
          <w:b w:val="0"/>
          <w:bCs/>
          <w:sz w:val="21"/>
          <w:szCs w:val="21"/>
        </w:rPr>
        <w:t>试验</w:t>
      </w:r>
      <w:r>
        <w:rPr>
          <w:rFonts w:hint="eastAsia" w:cs="Times New Roman"/>
          <w:b w:val="0"/>
          <w:bCs/>
          <w:sz w:val="21"/>
          <w:szCs w:val="21"/>
          <w:lang w:val="en-US" w:eastAsia="zh-CN"/>
        </w:rPr>
        <w:t>测量过程</w:t>
      </w:r>
      <w:r>
        <w:rPr>
          <w:rFonts w:hint="eastAsia" w:ascii="宋体" w:hAnsi="宋体" w:eastAsia="宋体" w:cs="宋体"/>
          <w:bCs/>
          <w:color w:val="000000" w:themeColor="text1"/>
          <w:kern w:val="0"/>
          <w:szCs w:val="21"/>
          <w:lang w:eastAsia="zh-CN"/>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水表基表压力密封试验测量过程</w:t>
      </w:r>
      <w:r>
        <w:rPr>
          <w:rFonts w:hint="eastAsia" w:ascii="宋体" w:hAnsi="宋体" w:eastAsia="宋体" w:cs="宋体"/>
          <w:bCs/>
          <w:color w:val="000000" w:themeColor="text1"/>
          <w:kern w:val="0"/>
          <w:szCs w:val="21"/>
          <w:lang w:eastAsia="zh-CN"/>
        </w:rPr>
        <w:t>》</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水表基表压力密封试验测量过程</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水表基表压力密封试验测量过程</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水表基表压力密封试验测量过程</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w:t>
      </w:r>
      <w:r>
        <w:rPr>
          <w:rFonts w:hint="eastAsia" w:cs="宋体" w:asciiTheme="minorEastAsia" w:hAnsiTheme="minorEastAsia"/>
          <w:color w:val="000000" w:themeColor="text1"/>
          <w:kern w:val="0"/>
          <w:szCs w:val="21"/>
          <w:lang w:val="en-US" w:eastAsia="zh-CN"/>
        </w:rPr>
        <w:t>比对的方法</w:t>
      </w:r>
      <w:r>
        <w:rPr>
          <w:rFonts w:hint="eastAsia" w:cs="宋体" w:asciiTheme="minorEastAsia" w:hAnsiTheme="minorEastAsia"/>
          <w:color w:val="000000" w:themeColor="text1"/>
          <w:kern w:val="0"/>
          <w:szCs w:val="21"/>
        </w:rPr>
        <w:t>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w:t>
      </w:r>
      <w:r>
        <w:rPr>
          <w:rFonts w:hint="eastAsia" w:asciiTheme="minorEastAsia" w:hAnsiTheme="minorEastAsia"/>
          <w:color w:val="auto"/>
          <w:sz w:val="21"/>
          <w:szCs w:val="21"/>
          <w:lang w:val="en-US" w:eastAsia="zh-CN"/>
        </w:rPr>
        <w:t>成都市计量检定测试院</w:t>
      </w:r>
      <w:r>
        <w:rPr>
          <w:rFonts w:hint="eastAsia" w:asciiTheme="minorEastAsia" w:hAnsiTheme="minorEastAsia"/>
          <w:color w:val="auto"/>
          <w:sz w:val="21"/>
          <w:szCs w:val="21"/>
          <w:lang w:eastAsia="zh-CN"/>
        </w:rPr>
        <w:t>、</w:t>
      </w:r>
      <w:r>
        <w:rPr>
          <w:rFonts w:hint="eastAsia" w:ascii="宋体" w:hAnsi="宋体"/>
          <w:sz w:val="21"/>
          <w:szCs w:val="21"/>
          <w:lang w:val="en-US" w:eastAsia="zh-CN"/>
        </w:rPr>
        <w:t>北京市计量检测科学研究院</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企业20</w:t>
      </w:r>
      <w:r>
        <w:rPr>
          <w:rFonts w:hint="eastAsia" w:ascii="宋体" w:hAnsi="宋体" w:eastAsia="宋体"/>
          <w:bCs/>
          <w:color w:val="000000" w:themeColor="text1"/>
          <w:szCs w:val="21"/>
          <w:lang w:val="en-US" w:eastAsia="zh-CN"/>
        </w:rPr>
        <w:t>20.11月至2021.10月</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0.007</w:t>
      </w:r>
      <w:r>
        <w:rPr>
          <w:rFonts w:hint="eastAsia" w:ascii="宋体" w:hAnsi="宋体" w:eastAsia="宋体"/>
          <w:bCs/>
          <w:color w:val="000000" w:themeColor="text1"/>
          <w:szCs w:val="21"/>
        </w:rPr>
        <w:t>万吨标准煤。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耗能单位，企业建立了能源测量设备明细表，能源测量设备配备率满足要求。进出用能单位，应配</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台（件）；进出主要次级用能单位，应配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jc w:val="left"/>
        <w:rPr>
          <w:rFonts w:hint="eastAsia" w:ascii="宋体" w:hAnsi="宋体" w:eastAsia="宋体"/>
          <w:bCs/>
          <w:color w:val="000000" w:themeColor="text1"/>
          <w:szCs w:val="21"/>
        </w:rPr>
      </w:pPr>
      <w:r>
        <w:rPr>
          <w:rFonts w:hint="eastAsia" w:ascii="宋体" w:hAnsi="宋体" w:eastAsia="宋体"/>
          <w:bCs/>
          <w:color w:val="000000" w:themeColor="text1"/>
          <w:szCs w:val="21"/>
        </w:rPr>
        <w:t>经检查企业对2020年度中发现的1个不符合项</w:t>
      </w:r>
      <w:r>
        <w:rPr>
          <w:rFonts w:hint="eastAsia" w:ascii="宋体" w:hAnsi="宋体" w:eastAsia="宋体"/>
          <w:bCs/>
          <w:color w:val="000000" w:themeColor="text1"/>
          <w:szCs w:val="21"/>
          <w:lang w:eastAsia="zh-CN"/>
        </w:rPr>
        <w:t>：</w:t>
      </w:r>
      <w:r>
        <w:rPr>
          <w:rFonts w:hint="eastAsia" w:ascii="宋体" w:hAnsi="宋体" w:eastAsia="宋体" w:cs="宋体"/>
          <w:szCs w:val="21"/>
        </w:rPr>
        <w:t>(</w:t>
      </w:r>
      <w:r>
        <w:rPr>
          <w:rFonts w:hint="eastAsia" w:ascii="宋体" w:hAnsi="宋体" w:eastAsia="宋体" w:cs="宋体"/>
          <w:color w:val="000000"/>
          <w:szCs w:val="21"/>
          <w:lang w:eastAsia="zh-CN"/>
        </w:rPr>
        <w:t>在</w:t>
      </w:r>
      <w:r>
        <w:rPr>
          <w:rFonts w:hint="eastAsia" w:ascii="宋体" w:hAnsi="宋体" w:eastAsia="宋体" w:cs="宋体"/>
          <w:color w:val="000000"/>
          <w:szCs w:val="21"/>
          <w:lang w:val="en-US" w:eastAsia="zh-CN"/>
        </w:rPr>
        <w:t>技术质量部检查时发现参加2020年10月13日参与内审的两名内审员没有经过培训。</w:t>
      </w:r>
      <w:r>
        <w:rPr>
          <w:rFonts w:hint="eastAsia" w:ascii="宋体" w:hAnsi="宋体" w:eastAsia="宋体" w:cs="宋体"/>
          <w:color w:val="000000"/>
          <w:kern w:val="0"/>
          <w:szCs w:val="21"/>
        </w:rPr>
        <w:t>不符合认证</w:t>
      </w:r>
      <w:r>
        <w:rPr>
          <w:rStyle w:val="9"/>
          <w:rFonts w:hint="eastAsia" w:ascii="宋体" w:hAnsi="宋体" w:eastAsia="宋体" w:cs="宋体"/>
          <w:color w:val="000000"/>
          <w:sz w:val="21"/>
          <w:szCs w:val="21"/>
          <w:lang w:val="zh-CN"/>
        </w:rPr>
        <w:t>审核准则</w:t>
      </w:r>
      <w:r>
        <w:rPr>
          <w:rFonts w:hint="eastAsia" w:ascii="宋体" w:hAnsi="宋体" w:eastAsia="宋体" w:cs="宋体"/>
          <w:color w:val="000000"/>
          <w:kern w:val="0"/>
          <w:szCs w:val="21"/>
        </w:rPr>
        <w:t>条款号：</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u w:val="single"/>
          <w:lang w:val="en-US" w:eastAsia="zh-CN"/>
        </w:rPr>
        <w:t>GB/T19022标准  6.1.2</w:t>
      </w:r>
      <w:r>
        <w:rPr>
          <w:rFonts w:hint="eastAsia" w:ascii="宋体" w:hAnsi="宋体" w:eastAsia="宋体" w:cs="宋体"/>
          <w:color w:val="000000"/>
          <w:szCs w:val="21"/>
          <w:lang w:val="en-US" w:eastAsia="zh-CN"/>
        </w:rPr>
        <w:t>。</w:t>
      </w:r>
      <w:r>
        <w:rPr>
          <w:rFonts w:hint="eastAsia" w:ascii="宋体" w:hAnsi="宋体" w:eastAsia="宋体" w:cs="宋体"/>
          <w:szCs w:val="21"/>
        </w:rPr>
        <w:t>)</w:t>
      </w:r>
      <w:r>
        <w:rPr>
          <w:rFonts w:hint="eastAsia" w:ascii="宋体" w:hAnsi="宋体"/>
          <w:szCs w:val="21"/>
        </w:rPr>
        <w:t>能查找原因，进行了</w:t>
      </w:r>
      <w:r>
        <w:rPr>
          <w:rFonts w:hint="eastAsia" w:ascii="宋体" w:hAnsi="宋体"/>
          <w:szCs w:val="21"/>
          <w:lang w:val="en-US" w:eastAsia="zh-CN"/>
        </w:rPr>
        <w:t>内部培训</w:t>
      </w:r>
      <w:r>
        <w:rPr>
          <w:rFonts w:hint="eastAsia" w:ascii="宋体" w:hAnsi="宋体"/>
          <w:szCs w:val="21"/>
        </w:rPr>
        <w:t xml:space="preserve">， </w:t>
      </w:r>
      <w:r>
        <w:rPr>
          <w:rFonts w:hint="eastAsia"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bCs/>
          <w:color w:val="000000"/>
          <w:szCs w:val="21"/>
        </w:rPr>
        <w:t>月</w:t>
      </w:r>
      <w:r>
        <w:rPr>
          <w:rFonts w:hint="eastAsia" w:ascii="宋体" w:hAnsi="宋体"/>
          <w:bCs/>
          <w:color w:val="000000"/>
          <w:szCs w:val="21"/>
          <w:lang w:val="en-US" w:eastAsia="zh-CN"/>
        </w:rPr>
        <w:t>26</w:t>
      </w:r>
      <w:r>
        <w:rPr>
          <w:rFonts w:hint="eastAsia" w:ascii="宋体" w:hAnsi="宋体"/>
          <w:bCs/>
          <w:color w:val="000000"/>
          <w:szCs w:val="21"/>
        </w:rPr>
        <w:t>日</w:t>
      </w:r>
      <w:r>
        <w:rPr>
          <w:rFonts w:hint="eastAsia" w:ascii="宋体" w:hAnsi="宋体"/>
          <w:szCs w:val="21"/>
        </w:rPr>
        <w:t>完成纠正措施跟踪及有效性验证。</w:t>
      </w:r>
      <w:r>
        <w:rPr>
          <w:rFonts w:hint="eastAsia" w:ascii="宋体" w:hAnsi="宋体"/>
          <w:szCs w:val="21"/>
          <w:lang w:val="en-US" w:eastAsia="zh-CN"/>
        </w:rPr>
        <w:t>经检查该不符合已关闭。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10</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jc w:val="left"/>
        <w:rPr>
          <w:rFonts w:hint="default" w:ascii="宋体" w:hAnsi="宋体" w:cs="宋体"/>
          <w:kern w:val="0"/>
          <w:szCs w:val="21"/>
          <w:lang w:val="en-US"/>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本次监督审核未发现</w:t>
      </w:r>
      <w:r>
        <w:rPr>
          <w:rFonts w:hint="eastAsia" w:asciiTheme="minorEastAsia" w:hAnsiTheme="minorEastAsia"/>
          <w:bCs/>
          <w:color w:val="000000" w:themeColor="text1"/>
          <w:szCs w:val="21"/>
          <w:lang w:val="en-US" w:eastAsia="zh-CN"/>
        </w:rPr>
        <w:t>了1个</w:t>
      </w:r>
      <w:r>
        <w:rPr>
          <w:rFonts w:hint="eastAsia" w:asciiTheme="minorEastAsia" w:hAnsiTheme="minorEastAsia"/>
          <w:bCs/>
          <w:color w:val="000000" w:themeColor="text1"/>
          <w:szCs w:val="21"/>
        </w:rPr>
        <w:t>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r>
        <w:rPr>
          <w:rFonts w:hint="eastAsia" w:ascii="宋体" w:hAnsi="宋体" w:cs="宋体"/>
          <w:kern w:val="0"/>
          <w:szCs w:val="21"/>
          <w:lang w:val="en-US" w:eastAsia="zh-CN"/>
        </w:rPr>
        <w:t>在研发部检查时发现该部门使用编号4076型号为</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0-200</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0.01</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的数显游标卡尺提供不了溯源证明。</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lang w:val="en-US" w:eastAsia="zh-CN"/>
        </w:rPr>
        <w:t>GB/T19022-2003标准 7.3.2条款的要求。</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11</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30</w:t>
      </w:r>
      <w:r>
        <w:rPr>
          <w:rFonts w:hint="eastAsia" w:asciiTheme="minorEastAsia" w:hAnsiTheme="minorEastAsia"/>
          <w:bCs/>
          <w:color w:val="000000" w:themeColor="text1"/>
          <w:szCs w:val="21"/>
        </w:rPr>
        <w:t>日，对</w:t>
      </w:r>
      <w:r>
        <w:rPr>
          <w:rFonts w:hint="eastAsia" w:asciiTheme="minorEastAsia" w:hAnsiTheme="minorEastAsia"/>
          <w:bCs/>
          <w:color w:val="000000" w:themeColor="text1"/>
          <w:szCs w:val="21"/>
          <w:lang w:eastAsia="zh-CN"/>
        </w:rPr>
        <w:t>成都易信达科技股份有限公司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成都易信达科技股份有限公司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1561465</wp:posOffset>
            </wp:positionH>
            <wp:positionV relativeFrom="paragraph">
              <wp:posOffset>258445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2021.11.30</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Times New Roman" w:hAnsi="Times New Roman" w:eastAsia="宋体" w:cs="Times New Roman"/>
          <w:szCs w:val="21"/>
        </w:rPr>
        <w:drawing>
          <wp:inline distT="0" distB="0" distL="114300" distR="114300">
            <wp:extent cx="938530" cy="366395"/>
            <wp:effectExtent l="0" t="0" r="0" b="1905"/>
            <wp:docPr id="3" name="图片 3"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胡琳"/>
                    <pic:cNvPicPr>
                      <a:picLocks noChangeAspect="1"/>
                    </pic:cNvPicPr>
                  </pic:nvPicPr>
                  <pic:blipFill>
                    <a:blip r:embed="rId7"/>
                    <a:stretch>
                      <a:fillRect/>
                    </a:stretch>
                  </pic:blipFill>
                  <pic:spPr>
                    <a:xfrm>
                      <a:off x="0" y="0"/>
                      <a:ext cx="938530" cy="366395"/>
                    </a:xfrm>
                    <a:prstGeom prst="rect">
                      <a:avLst/>
                    </a:prstGeom>
                  </pic:spPr>
                </pic:pic>
              </a:graphicData>
            </a:graphic>
          </wp:inline>
        </w:drawing>
      </w:r>
      <w:r>
        <w:rPr>
          <w:rFonts w:hint="eastAsia" w:ascii="宋体" w:hAnsi="宋体" w:eastAsia="宋体" w:cs="宋体"/>
          <w:color w:val="000000"/>
          <w:kern w:val="0"/>
          <w:szCs w:val="21"/>
        </w:rPr>
        <w:t xml:space="preserve">                </w:t>
      </w:r>
      <w:bookmarkStart w:id="11" w:name="_GoBack"/>
      <w:bookmarkEnd w:id="11"/>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2021.11.30</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3669665</wp:posOffset>
              </wp:positionH>
              <wp:positionV relativeFrom="paragraph">
                <wp:posOffset>198120</wp:posOffset>
              </wp:positionV>
              <wp:extent cx="2208530" cy="261620"/>
              <wp:effectExtent l="0" t="0" r="1270" b="5080"/>
              <wp:wrapNone/>
              <wp:docPr id="4" name="文本框 1"/>
              <wp:cNvGraphicFramePr/>
              <a:graphic xmlns:a="http://schemas.openxmlformats.org/drawingml/2006/main">
                <a:graphicData uri="http://schemas.microsoft.com/office/word/2010/wordprocessingShape">
                  <wps:wsp>
                    <wps:cNvSpPr txBox="1"/>
                    <wps:spPr>
                      <a:xfrm>
                        <a:off x="0" y="0"/>
                        <a:ext cx="2208530" cy="261620"/>
                      </a:xfrm>
                      <a:prstGeom prst="rect">
                        <a:avLst/>
                      </a:prstGeom>
                      <a:solidFill>
                        <a:srgbClr val="FFFFFF"/>
                      </a:solidFill>
                      <a:ln>
                        <a:noFill/>
                      </a:ln>
                    </wps:spPr>
                    <wps:txb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wps:txbx>
                    <wps:bodyPr upright="1"/>
                  </wps:wsp>
                </a:graphicData>
              </a:graphic>
            </wp:anchor>
          </w:drawing>
        </mc:Choice>
        <mc:Fallback>
          <w:pict>
            <v:shape id="文本框 1" o:spid="_x0000_s1026" o:spt="202" type="#_x0000_t202" style="position:absolute;left:0pt;margin-left:288.95pt;margin-top:15.6pt;height:20.6pt;width:173.9pt;z-index:251659264;mso-width-relative:page;mso-height-relative:page;" fillcolor="#FFFFFF" filled="t" stroked="f" coordsize="21600,21600"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aIB/XAAAACQEAAA8AAAAAAAAAAQAgAAAAIgAAAGRycy9kb3ducmV2Lnht&#10;bFBLAQIUABQAAAAIAIdO4kBgdaJ9wQEAAHcDAAAOAAAAAAAAAAEAIAAAACYBAABkcnMvZTJvRG9j&#10;LnhtbFBLBQYAAAAABgAGAFkBAABZBQAAAAA=&#10;">
              <v:fill on="t" focussize="0,0"/>
              <v:stroke on="f"/>
              <v:imagedata o:title=""/>
              <o:lock v:ext="edit" aspectratio="f"/>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mc:Fallback>
      </mc:AlternateConten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29845</wp:posOffset>
              </wp:positionV>
              <wp:extent cx="5849620" cy="8890"/>
              <wp:effectExtent l="0" t="0" r="0" b="0"/>
              <wp:wrapNone/>
              <wp:docPr id="5" name="直线 3"/>
              <wp:cNvGraphicFramePr/>
              <a:graphic xmlns:a="http://schemas.openxmlformats.org/drawingml/2006/main">
                <a:graphicData uri="http://schemas.microsoft.com/office/word/2010/wordprocessingShape">
                  <wps:wsp>
                    <wps:cNvSpPr/>
                    <wps:spPr>
                      <a:xfrm>
                        <a:off x="0" y="0"/>
                        <a:ext cx="58496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7pt;margin-top:2.35pt;height:0.7pt;width:460.6pt;z-index:251660288;mso-width-relative:page;mso-height-relative:page;" filled="f" stroked="t" coordsize="21600,21600"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ESg&#10;ANYAAAAHAQAADwAAAAAAAAABACAAAAAiAAAAZHJzL2Rvd25yZXYueG1sUEsBAhQAFAAAAAgAh07i&#10;QFYYx7brAQAA3gMAAA4AAAAAAAAAAQAgAAAAJQEAAGRycy9lMm9Eb2MueG1sUEsFBgAAAAAGAAYA&#10;WQEAAIIFAAAAAA==&#10;">
              <v:fill on="f" focussize="0,0"/>
              <v:stroke color="#000000" joinstyle="round"/>
              <v:imagedata o:title=""/>
              <o:lock v:ext="edit" aspectratio="f"/>
            </v:line>
          </w:pict>
        </mc:Fallback>
      </mc:AlternateConten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594F"/>
    <w:rsid w:val="036A2620"/>
    <w:rsid w:val="060B64C4"/>
    <w:rsid w:val="2F7822F3"/>
    <w:rsid w:val="2F857C8A"/>
    <w:rsid w:val="30D5235C"/>
    <w:rsid w:val="36D621D5"/>
    <w:rsid w:val="481C43F8"/>
    <w:rsid w:val="4C1B28F6"/>
    <w:rsid w:val="5EEC721F"/>
    <w:rsid w:val="65A62008"/>
    <w:rsid w:val="65D424AD"/>
    <w:rsid w:val="75395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胡琳</cp:lastModifiedBy>
  <cp:lastPrinted>2017-09-01T06:24:00Z</cp:lastPrinted>
  <dcterms:modified xsi:type="dcterms:W3CDTF">2021-11-30T05:21:43Z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C055EF3E01DE4E27AC914CC10FC1CB97</vt:lpwstr>
  </property>
</Properties>
</file>