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2149"/>
        <w:gridCol w:w="960"/>
        <w:gridCol w:w="745"/>
        <w:gridCol w:w="9255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3" w:type="dxa"/>
            <w:gridSpan w:val="2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0" w:type="dxa"/>
            <w:gridSpan w:val="2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领导层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夏建邦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胡晓</w:t>
            </w:r>
          </w:p>
        </w:tc>
        <w:tc>
          <w:tcPr>
            <w:tcW w:w="159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审核员：肖新龙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rFonts w:hint="eastAsia"/>
                <w:sz w:val="24"/>
                <w:szCs w:val="24"/>
              </w:rPr>
              <w:t>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12-05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3" w:type="dxa"/>
            <w:gridSpan w:val="2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0" w:type="dxa"/>
            <w:gridSpan w:val="2"/>
            <w:vAlign w:val="center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审核条款：FSMS：4.1/4.2/4.3/4.4/5.1/5.2/5.3/6.1/6.2/6.3/7.1.1/</w:t>
            </w:r>
            <w:r>
              <w:t>7.4</w:t>
            </w:r>
            <w:r>
              <w:rPr>
                <w:rFonts w:hint="eastAsia"/>
              </w:rPr>
              <w:t>/9.1.1</w:t>
            </w:r>
            <w:r>
              <w:t>/</w:t>
            </w:r>
            <w:r>
              <w:rPr>
                <w:rFonts w:hint="eastAsia"/>
              </w:rPr>
              <w:t>9.3/10.2/10.3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理解组织及其环境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与最高管理者沟通：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组织的环境：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9"/>
              <w:gridCol w:w="70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外部环境</w:t>
                  </w:r>
                </w:p>
              </w:tc>
              <w:tc>
                <w:tcPr>
                  <w:tcW w:w="7022" w:type="dxa"/>
                </w:tcPr>
                <w:p>
                  <w:pPr>
                    <w:spacing w:line="360" w:lineRule="auto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法律法规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</w:rPr>
                    <w:t xml:space="preserve">技术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竞争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市场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社会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经济环境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>政治环境□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网络安全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食品欺诈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食品防护 </w:t>
                  </w:r>
                  <w:r>
                    <w:rPr>
                      <w:rFonts w:hint="eastAsia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蓄意污染 </w:t>
                  </w:r>
                  <w:r>
                    <w:rPr>
                      <w:rFonts w:hint="eastAsia"/>
                    </w:rPr>
                    <w:t>□其他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9" w:type="dxa"/>
                </w:tcPr>
                <w:p>
                  <w:pPr>
                    <w:spacing w:line="360" w:lineRule="auto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列举主要的内容</w:t>
                  </w:r>
                </w:p>
              </w:tc>
              <w:tc>
                <w:tcPr>
                  <w:tcW w:w="7022" w:type="dxa"/>
                </w:tcPr>
                <w:p>
                  <w:pPr>
                    <w:spacing w:line="360" w:lineRule="auto"/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集团改制，市场竞争更加激烈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内部环境</w:t>
                  </w:r>
                </w:p>
              </w:tc>
              <w:tc>
                <w:tcPr>
                  <w:tcW w:w="7022" w:type="dxa"/>
                </w:tcPr>
                <w:p>
                  <w:pPr>
                    <w:spacing w:line="360" w:lineRule="auto"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价值观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文化 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知识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绩效 </w:t>
                  </w:r>
                  <w:r>
                    <w:rPr>
                      <w:rFonts w:hint="eastAsia"/>
                    </w:rPr>
                    <w:sym w:font="Wingdings 2" w:char="00A3"/>
                  </w:r>
                  <w:r>
                    <w:rPr>
                      <w:rFonts w:hint="eastAsia"/>
                    </w:rPr>
                    <w:t xml:space="preserve">工艺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</w:rPr>
                    <w:instrText xml:space="preserve">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设备 </w:t>
                  </w:r>
                  <w:r>
                    <w:rPr>
                      <w:rFonts w:ascii="宋体" w:hAnsi="宋体"/>
                    </w:rPr>
                    <w:fldChar w:fldCharType="begin"/>
                  </w:r>
                  <w:r>
                    <w:rPr>
                      <w:rFonts w:ascii="宋体" w:hAnsi="宋体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>
                    <w:rPr>
                      <w:rFonts w:hint="eastAsia"/>
                    </w:rPr>
                    <w:t xml:space="preserve">人员能力 □其他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列举主要的内容</w:t>
                  </w:r>
                </w:p>
              </w:tc>
              <w:tc>
                <w:tcPr>
                  <w:tcW w:w="7022" w:type="dxa"/>
                </w:tcPr>
                <w:p>
                  <w:pPr>
                    <w:spacing w:line="36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集团统一管理采购，严格控制供方，确保餐食源头安全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组织优势说明</w:t>
                  </w:r>
                </w:p>
              </w:tc>
              <w:tc>
                <w:tcPr>
                  <w:tcW w:w="7022" w:type="dxa"/>
                </w:tcPr>
                <w:p>
                  <w:pPr>
                    <w:pStyle w:val="2"/>
                    <w:spacing w:line="360" w:lineRule="auto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队伍建设较为稳定，自由资金较充足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组织劣势说明</w:t>
                  </w:r>
                </w:p>
              </w:tc>
              <w:tc>
                <w:tcPr>
                  <w:tcW w:w="7022" w:type="dxa"/>
                </w:tcPr>
                <w:p>
                  <w:pPr>
                    <w:spacing w:line="360" w:lineRule="auto"/>
                    <w:rPr>
                      <w:rFonts w:hint="default" w:ascii="宋体" w:hAnsi="宋体" w:eastAsia="宋体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kern w:val="0"/>
                      <w:szCs w:val="21"/>
                      <w:lang w:val="en-US" w:eastAsia="zh-CN"/>
                    </w:rPr>
                    <w:t>以军队接待后勤保障为主经营改制后，面对食品安全监管等要求还薄弱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74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主要风险的说明</w:t>
                  </w:r>
                </w:p>
              </w:tc>
              <w:tc>
                <w:tcPr>
                  <w:tcW w:w="7022" w:type="dxa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餐饮过程异物控制不当，导致产品质量不合格，消费者投诉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49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机遇的说明</w:t>
                  </w:r>
                </w:p>
              </w:tc>
              <w:tc>
                <w:tcPr>
                  <w:tcW w:w="7022" w:type="dxa"/>
                </w:tcPr>
                <w:p>
                  <w:pPr>
                    <w:spacing w:line="360" w:lineRule="auto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多年的渠道经验，希望通过建立体系，强化内部管理；参与招投标；赢得更多市场</w:t>
                  </w: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《组织内部外部环境</w:t>
            </w:r>
            <w:r>
              <w:rPr>
                <w:rFonts w:hint="eastAsia" w:ascii="宋体" w:hAnsi="宋体"/>
                <w:lang w:val="en-US" w:eastAsia="zh-CN"/>
              </w:rPr>
              <w:t>要素</w:t>
            </w:r>
            <w:r>
              <w:rPr>
                <w:rFonts w:hint="eastAsia" w:ascii="宋体" w:hAnsi="宋体"/>
              </w:rPr>
              <w:t>识别表》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lang w:val="en-US" w:eastAsia="zh-CN"/>
              </w:rPr>
              <w:t>PEST分析企业外部环境因素及应对措施</w:t>
            </w:r>
            <w:r>
              <w:rPr>
                <w:rFonts w:hint="eastAsia"/>
              </w:rPr>
              <w:t xml:space="preserve">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《组织及其环境分析表》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理解相关方的需求和期望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F4.2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</w:instrText>
            </w:r>
            <w:r>
              <w:rPr>
                <w:rFonts w:hint="eastAsia" w:ascii="宋体" w:hAnsi="宋体"/>
                <w:lang w:eastAsia="zh-CN"/>
              </w:rPr>
              <w:instrText xml:space="preserve">,</w:instrText>
            </w:r>
            <w:r>
              <w:rPr>
                <w:rFonts w:hint="eastAsia" w:ascii="宋体" w:hAnsi="宋体"/>
                <w:position w:val="2"/>
                <w:sz w:val="13"/>
                <w:lang w:eastAsia="zh-CN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《相关方需求和期望控制程序》、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管理手册第4.2条款</w:t>
            </w:r>
            <w:r>
              <w:rPr>
                <w:rFonts w:hint="eastAsia"/>
                <w:lang w:eastAsia="zh-CN"/>
              </w:rPr>
              <w:t>、</w:t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现场沟通抽查：</w:t>
            </w:r>
          </w:p>
          <w:tbl>
            <w:tblPr>
              <w:tblStyle w:val="8"/>
              <w:tblW w:w="89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81"/>
              <w:gridCol w:w="2240"/>
              <w:gridCol w:w="51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相关方名称举例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重要的相关方需求和希望（不必全选）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主管部门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南京市鼓楼区市场监督管理局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遵守食品安全相关的法律法规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供方</w:t>
                  </w:r>
                </w:p>
              </w:tc>
              <w:tc>
                <w:tcPr>
                  <w:tcW w:w="2240" w:type="dxa"/>
                </w:tcPr>
                <w:p>
                  <w:pPr>
                    <w:pStyle w:val="10"/>
                    <w:rPr>
                      <w:rFonts w:hint="default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集团统一管理供方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组织的持续经营、明示食品安全采购要求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☑顾客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普通大众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按时按质按量交付产品或服务；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产品/服务质量持续满足要求</w:t>
                  </w:r>
                </w:p>
                <w:p>
                  <w:pPr>
                    <w:ind w:left="210" w:hanging="210" w:hangingChars="100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☑不因食品安全问题影响按时按质按量交付产品或服务；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消费者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普通大众群体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☑良好的使用感受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☑不因食品安全问题带来健康损害和生命威胁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员工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szCs w:val="24"/>
                      <w:highlight w:val="none"/>
                    </w:rPr>
                    <w:t>雇员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☑组织的持续经营、自我发展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☑不因食品安全问题停产，组织持续经营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投资方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集团总部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组织的持续经营、盈利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不因食品安全问题停产，组织持续经营、盈利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52"/>
                  </w:r>
                  <w:r>
                    <w:rPr>
                      <w:rFonts w:hint="eastAsia"/>
                      <w:highlight w:val="none"/>
                    </w:rPr>
                    <w:t>社区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 2" w:char="00A3"/>
                  </w:r>
                  <w:r>
                    <w:rPr>
                      <w:rFonts w:hint="eastAsia"/>
                      <w:highlight w:val="none"/>
                    </w:rPr>
                    <w:t>不因食品安全问题影响周围人员的就业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8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□其他</w:t>
                  </w:r>
                </w:p>
              </w:tc>
              <w:tc>
                <w:tcPr>
                  <w:tcW w:w="224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  <w:tc>
                <w:tcPr>
                  <w:tcW w:w="5190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主要证据体现在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</w:instrText>
            </w:r>
            <w:r>
              <w:rPr>
                <w:rFonts w:hint="eastAsia" w:ascii="宋体" w:hAnsi="宋体"/>
                <w:position w:val="2"/>
                <w:sz w:val="13"/>
              </w:rPr>
              <w:instrText xml:space="preserve">√</w:instrText>
            </w:r>
            <w:r>
              <w:rPr>
                <w:rFonts w:hint="eastAsia" w:ascii="宋体" w:hAnsi="宋体"/>
              </w:rPr>
              <w:instrText xml:space="preserve">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相关方期望或要求识别表</w:t>
            </w:r>
            <w:r>
              <w:rPr>
                <w:rFonts w:hint="eastAsia" w:ascii="宋体" w:hAnsi="宋体"/>
              </w:rPr>
              <w:t>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《相关方的需求和期望分析表》、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《年度业务计划》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确定食品安全管理体系的范围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F4.3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管理手册第4.3条款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组织应明确相关管理体系的范围；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11"/>
              <w:gridCol w:w="5446"/>
              <w:gridCol w:w="16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范围的项目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内容描述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产品/服务的活动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szCs w:val="21"/>
                      <w:highlight w:val="none"/>
                    </w:rPr>
                  </w:pPr>
                  <w:r>
                    <w:t>热食类食品制售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 xml:space="preserve">审核范围描述 </w:t>
                  </w:r>
                </w:p>
              </w:tc>
              <w:tc>
                <w:tcPr>
                  <w:tcW w:w="5446" w:type="dxa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highlight w:val="none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位于</w:t>
                  </w:r>
                  <w:r>
                    <w:rPr>
                      <w:sz w:val="21"/>
                      <w:szCs w:val="21"/>
                    </w:rPr>
                    <w:t>江苏省南京市鼓楼区湖南路街道中山北路178号南京君通华江饭店有限责任公司</w:t>
                  </w: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民国楼的热食类食品制售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注册地址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0" w:name="注册地址"/>
                  <w:r>
                    <w:rPr>
                      <w:sz w:val="21"/>
                      <w:szCs w:val="21"/>
                    </w:rPr>
                    <w:t>南京市鼓楼区中山北路178号</w:t>
                  </w:r>
                  <w:bookmarkEnd w:id="0"/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经营地址</w:t>
                  </w:r>
                </w:p>
              </w:tc>
              <w:tc>
                <w:tcPr>
                  <w:tcW w:w="5446" w:type="dxa"/>
                  <w:vAlign w:val="center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bookmarkStart w:id="1" w:name="生产地址"/>
                  <w:r>
                    <w:rPr>
                      <w:sz w:val="21"/>
                      <w:szCs w:val="21"/>
                    </w:rPr>
                    <w:t>江苏省南京市鼓楼区湖南路街道中山北路178号</w:t>
                  </w:r>
                  <w:bookmarkEnd w:id="1"/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民国楼、迎宾楼、职工食堂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临时现场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多场所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——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组织单元（部门/分支）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\o\ac(□,√)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>与组织结构图一致</w:t>
                  </w:r>
                </w:p>
                <w:p>
                  <w:pPr>
                    <w:rPr>
                      <w:highlight w:val="none"/>
                      <w:u w:val="singl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分支机构，如：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      </w:t>
                  </w:r>
                </w:p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</w:rPr>
                    <w:t xml:space="preserve">临时场所，如：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         </w:t>
                  </w:r>
                  <w:r>
                    <w:rPr>
                      <w:highlight w:val="none"/>
                      <w:u w:val="single"/>
                    </w:rPr>
                    <w:t xml:space="preserve">   </w:t>
                  </w:r>
                  <w:r>
                    <w:rPr>
                      <w:rFonts w:hint="eastAsia"/>
                      <w:highlight w:val="none"/>
                      <w:u w:val="single"/>
                    </w:rPr>
                    <w:t xml:space="preserve">  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11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时间</w:t>
                  </w:r>
                </w:p>
              </w:tc>
              <w:tc>
                <w:tcPr>
                  <w:tcW w:w="5446" w:type="dxa"/>
                </w:tcPr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ascii="宋体" w:hAnsi="宋体"/>
                      <w:highlight w:val="none"/>
                    </w:rPr>
                    <w:fldChar w:fldCharType="begin"/>
                  </w:r>
                  <w:r>
                    <w:rPr>
                      <w:rFonts w:ascii="宋体" w:hAnsi="宋体"/>
                      <w:highlight w:val="none"/>
                    </w:rPr>
                    <w:instrText xml:space="preserve"> 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eq \o\ac(□</w:instrText>
                  </w:r>
                  <w:r>
                    <w:rPr>
                      <w:rFonts w:hint="eastAsia" w:ascii="宋体" w:hAnsi="宋体"/>
                      <w:highlight w:val="none"/>
                      <w:lang w:eastAsia="zh-CN"/>
                    </w:rPr>
                    <w:instrText xml:space="preserve">,</w:instrText>
                  </w:r>
                  <w:r>
                    <w:rPr>
                      <w:rFonts w:hint="eastAsia" w:ascii="宋体" w:hAnsi="宋体"/>
                      <w:position w:val="2"/>
                      <w:sz w:val="13"/>
                      <w:highlight w:val="none"/>
                      <w:lang w:eastAsia="zh-CN"/>
                    </w:rPr>
                    <w:instrText xml:space="preserve">√</w:instrText>
                  </w:r>
                  <w:r>
                    <w:rPr>
                      <w:rFonts w:hint="eastAsia" w:ascii="宋体" w:hAnsi="宋体"/>
                      <w:highlight w:val="none"/>
                    </w:rPr>
                    <w:instrText xml:space="preserve">)</w:instrText>
                  </w:r>
                  <w:r>
                    <w:rPr>
                      <w:rFonts w:ascii="宋体" w:hAnsi="宋体"/>
                      <w:highlight w:val="none"/>
                    </w:rPr>
                    <w:fldChar w:fldCharType="end"/>
                  </w:r>
                  <w:r>
                    <w:rPr>
                      <w:rFonts w:hint="eastAsia"/>
                      <w:highlight w:val="none"/>
                    </w:rPr>
                    <w:t xml:space="preserve"> 体系建立以来</w:t>
                  </w:r>
                  <w:r>
                    <w:rPr>
                      <w:rFonts w:hint="eastAsia"/>
                      <w:highlight w:val="none"/>
                      <w:lang w:eastAsia="zh-CN"/>
                    </w:rPr>
                    <w:t>，</w:t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>2021-08-05</w:t>
                  </w:r>
                </w:p>
                <w:p>
                  <w:p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highlight w:val="none"/>
                      <w:lang w:val="en-US" w:eastAsia="zh-CN"/>
                    </w:rPr>
                    <w:t xml:space="preserve"> 近一年以来， </w:t>
                  </w:r>
                </w:p>
              </w:tc>
              <w:tc>
                <w:tcPr>
                  <w:tcW w:w="1686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在企业的管理手册中有描述。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jc w:val="left"/>
            </w:pPr>
            <w:r>
              <w:rPr>
                <w:rFonts w:hint="eastAsia"/>
              </w:rPr>
              <w:t>食品安全管理体系及其过程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 xml:space="preserve"> F4.4 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管理手册第4.4条款、</w:t>
            </w:r>
            <w:r>
              <w:rPr/>
              <w:sym w:font="Wingdings" w:char="00A8"/>
            </w:r>
            <w:r>
              <w:rPr>
                <w:rFonts w:hint="eastAsia"/>
              </w:rPr>
              <w:t>《过程清单》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spacing w:before="40" w:after="40"/>
              <w:rPr>
                <w:lang w:val="en-GB"/>
              </w:rPr>
            </w:pPr>
            <w:r>
              <w:rPr>
                <w:rFonts w:hint="eastAsia"/>
              </w:rPr>
              <w:t>组织对管理体系的过程进行了确认，对输入、输出、</w:t>
            </w:r>
            <w:r>
              <w:rPr>
                <w:rFonts w:hint="eastAsia"/>
                <w:lang w:val="en-GB"/>
              </w:rPr>
              <w:t>顺序及相互</w:t>
            </w:r>
            <w:r>
              <w:rPr>
                <w:rFonts w:hint="eastAsia"/>
              </w:rPr>
              <w:t>作用</w:t>
            </w:r>
            <w:r>
              <w:rPr>
                <w:rFonts w:hint="eastAsia"/>
                <w:lang w:val="en-GB"/>
              </w:rPr>
              <w:t>已被</w:t>
            </w:r>
            <w:r>
              <w:rPr>
                <w:rFonts w:hint="eastAsia"/>
              </w:rPr>
              <w:t>明确</w:t>
            </w:r>
            <w:r>
              <w:rPr>
                <w:rFonts w:hint="eastAsia"/>
                <w:lang w:val="en-GB"/>
              </w:rPr>
              <w:t>地提出并被充分控制。</w:t>
            </w:r>
            <w:r>
              <w:rPr>
                <w:rFonts w:hint="eastAsia"/>
              </w:rPr>
              <w:t>采用了过程方法管理相关管理体系及其过程；</w:t>
            </w:r>
            <w:r>
              <w:rPr>
                <w:rFonts w:hint="eastAsia"/>
                <w:lang w:val="en-GB"/>
              </w:rPr>
              <w:t>用文件化的绩效指标定期评审过程。</w:t>
            </w:r>
          </w:p>
          <w:p>
            <w:pPr>
              <w:spacing w:before="40" w:after="40"/>
              <w:jc w:val="left"/>
            </w:pPr>
          </w:p>
          <w:p>
            <w:pPr>
              <w:spacing w:before="40" w:after="40"/>
              <w:jc w:val="left"/>
            </w:pPr>
            <w:r>
              <w:rPr>
                <w:rFonts w:hint="eastAsia"/>
              </w:rPr>
              <w:t>FSMS：</w:t>
            </w: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影响运行的重要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不必全选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  <w:ind w:left="210" w:hanging="210" w:hangingChars="100"/>
            </w:pPr>
            <w:r>
              <w:rPr>
                <w:rFonts w:hint="eastAsia"/>
              </w:rPr>
              <w:t xml:space="preserve">☑人员能力管理 ☑危害分析 ☑PRP制订和控制 ☑危害控制计划（OPRP、HACCP）制订和控制 </w:t>
            </w:r>
          </w:p>
          <w:p>
            <w:pPr>
              <w:spacing w:before="40" w:after="4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 xml:space="preserve">特种设备管理 ☑控制措施组合确认  ☑PRP和危害控制措施的效果验证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</w:t>
            </w:r>
          </w:p>
          <w:p>
            <w:pPr>
              <w:pStyle w:val="6"/>
            </w:pPr>
          </w:p>
          <w:p>
            <w:pPr>
              <w:spacing w:before="40" w:after="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影响体系运行的外包</w:t>
            </w:r>
            <w:r>
              <w:rPr>
                <w:rFonts w:hint="eastAsia"/>
                <w:b/>
                <w:bCs/>
                <w:lang w:val="en-GB"/>
              </w:rPr>
              <w:t>过程如下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GB"/>
              </w:rPr>
              <w:t xml:space="preserve"> （</w:t>
            </w:r>
            <w:r>
              <w:rPr>
                <w:rFonts w:hint="eastAsia"/>
                <w:b/>
                <w:bCs/>
              </w:rPr>
              <w:t>根据实际情况选择</w:t>
            </w:r>
            <w:r>
              <w:rPr>
                <w:rFonts w:hint="eastAsia"/>
                <w:b/>
                <w:bCs/>
                <w:lang w:val="en-GB"/>
              </w:rPr>
              <w:t>）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>□建立FSMS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□危害分析 □制订PRP和OPRP、HACCP计划 □生产/服务过程  □产品运输 </w:t>
            </w:r>
          </w:p>
          <w:p>
            <w:pPr>
              <w:spacing w:before="40" w:after="4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□设备维修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□人员培训 □PRP和OPRP、HACCP验证  ☑其他—</w:t>
            </w:r>
            <w:r>
              <w:rPr>
                <w:rFonts w:hint="eastAsia"/>
                <w:color w:val="000000"/>
                <w:highlight w:val="none"/>
                <w:u w:val="single"/>
              </w:rPr>
              <w:t>（虫害防治、油烟管道清洗、清洗等服务采购的按照7.1.6执行）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before="40" w:after="40"/>
              <w:rPr>
                <w:highlight w:val="cyan"/>
              </w:rPr>
            </w:pPr>
            <w:r>
              <w:rPr>
                <w:rFonts w:hint="eastAsia"/>
                <w:lang w:val="en-GB"/>
              </w:rPr>
              <w:t>组织通过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目标的建立、实施、顾客满意的测量、内审和管理评审等方式，充分地</w:t>
            </w:r>
            <w:r>
              <w:rPr>
                <w:rFonts w:hint="eastAsia"/>
              </w:rPr>
              <w:t>评审，管理及</w:t>
            </w:r>
            <w:r>
              <w:rPr>
                <w:rFonts w:hint="eastAsia"/>
                <w:lang w:val="en-GB"/>
              </w:rPr>
              <w:t>控制这些</w:t>
            </w:r>
            <w:r>
              <w:rPr>
                <w:rFonts w:hint="eastAsia"/>
              </w:rPr>
              <w:t>管理体系覆盖的过程</w:t>
            </w:r>
            <w:r>
              <w:rPr>
                <w:rFonts w:hint="eastAsia"/>
                <w:lang w:val="en-GB"/>
              </w:rPr>
              <w:t>和活动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领导作用与承诺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管理手册第5.1条款  和“</w:t>
            </w:r>
            <w:r>
              <w:rPr>
                <w:rFonts w:hint="eastAsia"/>
                <w:lang w:val="en-US" w:eastAsia="zh-CN"/>
              </w:rPr>
              <w:t>5.3</w:t>
            </w:r>
            <w:r>
              <w:rPr>
                <w:rFonts w:hint="eastAsia"/>
              </w:rPr>
              <w:t>各部门及岗位职责”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与最高管理者沟通其领导作用与承诺：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确保为食品安全管理体系制定食品安全方针和食品安全目标， 并与组织的战略方向相一致；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确保食品安全管理体系要求整合到组织的业务过程中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确保获得食品安全管理体系所需的资源</w:t>
            </w:r>
            <w:r>
              <w:rPr>
                <w:rFonts w:hint="eastAsia"/>
                <w:color w:val="000000"/>
                <w:szCs w:val="21"/>
              </w:rPr>
              <w:t xml:space="preserve">； 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沟通有效食品安全管理的重要性， 符合食品安全管理体系要求、 法律法规要求和与食品安全有关的顾客要求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确保对FSMS进行评估和保持，以实现其预期结果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指导和支持员工为食品安全管理体系的有效性做出贡献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推动持续改进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支持其他管理者履行其相关领域的食品安全领导职责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rPr>
                <w:rFonts w:ascii="黑体" w:eastAsia="黑体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 覆盖了标准第5.1章的全面要求，</w:t>
            </w:r>
            <w:r>
              <w:rPr>
                <w:rFonts w:hint="eastAsia"/>
                <w:color w:val="000000"/>
                <w:szCs w:val="21"/>
              </w:rPr>
              <w:sym w:font="Wingdings" w:char="00A8"/>
            </w:r>
            <w:r>
              <w:rPr>
                <w:rFonts w:hint="eastAsia"/>
                <w:color w:val="000000"/>
                <w:szCs w:val="21"/>
              </w:rPr>
              <w:t xml:space="preserve"> 未覆盖标准第5.1章的全面要求，缺少：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食品安全方针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管理手册第5.2条款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最高管理者制定了文件化的管理体系方针：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食品安全为先、诚信经营为本、良好舒适为优、不断持续改进</w:t>
            </w:r>
          </w:p>
          <w:p>
            <w:pPr>
              <w:pStyle w:val="6"/>
            </w:pP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适应组织的宗旨和环境并支持其战略方向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方针合理恰当并为相应的</w:t>
            </w:r>
            <w:r>
              <w:rPr>
                <w:rFonts w:hint="eastAsia"/>
              </w:rPr>
              <w:t>食品安全</w:t>
            </w:r>
            <w:r>
              <w:rPr>
                <w:rFonts w:hint="eastAsia"/>
                <w:lang w:val="en-GB"/>
              </w:rPr>
              <w:t>目标提供了框架。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包括满足适用要求的承诺； </w:t>
            </w:r>
          </w:p>
          <w:p>
            <w:r>
              <w:rPr>
                <w:rFonts w:hint="eastAsia"/>
              </w:rPr>
              <w:t>☑包括满足适用食品安全要求的承诺，包括立法/执法要求和顾客的相互同意的食品安全要求（FSMS）</w:t>
            </w:r>
          </w:p>
          <w:p>
            <w:pPr>
              <w:rPr>
                <w:lang w:val="en-GB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包括持续改进质量管理体系的承诺</w:t>
            </w:r>
          </w:p>
          <w:p>
            <w:r>
              <w:rPr>
                <w:rFonts w:hint="eastAsia"/>
              </w:rPr>
              <w:t>☑应对内部和外部沟通（FSMS）</w:t>
            </w:r>
          </w:p>
          <w:p>
            <w:r>
              <w:rPr>
                <w:rFonts w:hint="eastAsia"/>
              </w:rPr>
              <w:t>☑解决需求确保食品安全相关的能力（FSMS）</w:t>
            </w:r>
          </w:p>
          <w:p/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在组织内得到沟通、理解和应用，通过：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展板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标语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会议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文件发放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其他 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在相关方有需要时提供。通过：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网站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宣传册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r>
              <w:rPr>
                <w:rFonts w:hint="eastAsia"/>
              </w:rPr>
              <w:t>组织的岗位、职责和权限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</w:rPr>
              <w:t>F5.3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管理手册第5.3条款和“</w:t>
            </w:r>
            <w:r>
              <w:rPr>
                <w:rFonts w:hint="eastAsia"/>
                <w:lang w:val="en-US" w:eastAsia="zh-CN"/>
              </w:rPr>
              <w:t xml:space="preserve"> 食品安全管理体系职能分配表</w:t>
            </w:r>
            <w:r>
              <w:rPr>
                <w:rFonts w:hint="eastAsia"/>
              </w:rPr>
              <w:t>”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最高管理者确定了组织架构及相关岗位的职责、权限，并进行了全员的沟通和理解；</w:t>
            </w:r>
          </w:p>
          <w:p>
            <w:r>
              <w:rPr>
                <w:rFonts w:hint="eastAsia"/>
              </w:rPr>
              <w:t>如：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0"/>
              <w:gridCol w:w="1831"/>
              <w:gridCol w:w="2691"/>
              <w:gridCol w:w="22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过程名称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主管部门名称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食品安全管理体系策划和推动</w:t>
                  </w:r>
                </w:p>
              </w:tc>
              <w:tc>
                <w:tcPr>
                  <w:tcW w:w="183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OPRP和HACCP的实施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采购控制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餐饮部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FSMS验证和确认</w:t>
                  </w:r>
                </w:p>
              </w:tc>
              <w:tc>
                <w:tcPr>
                  <w:tcW w:w="2261" w:type="dxa"/>
                </w:tcPr>
                <w:p>
                  <w:r>
                    <w:rPr>
                      <w:rFonts w:hint="eastAsia"/>
                    </w:rPr>
                    <w:t>食品安全小组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4" w:hRule="atLeast"/>
              </w:trPr>
              <w:tc>
                <w:tcPr>
                  <w:tcW w:w="2260" w:type="dxa"/>
                </w:tcPr>
                <w:p>
                  <w:r>
                    <w:rPr>
                      <w:rFonts w:hint="eastAsia"/>
                    </w:rPr>
                    <w:t>人员健康</w:t>
                  </w:r>
                </w:p>
              </w:tc>
              <w:tc>
                <w:tcPr>
                  <w:tcW w:w="183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</w:t>
                  </w:r>
                </w:p>
              </w:tc>
              <w:tc>
                <w:tcPr>
                  <w:tcW w:w="2691" w:type="dxa"/>
                </w:tcPr>
                <w:p>
                  <w:r>
                    <w:rPr>
                      <w:rFonts w:hint="eastAsia"/>
                    </w:rPr>
                    <w:t>监视和测量控制</w:t>
                  </w:r>
                </w:p>
              </w:tc>
              <w:tc>
                <w:tcPr>
                  <w:tcW w:w="2261" w:type="dxa"/>
                </w:tcPr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餐饮部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0" w:type="dxa"/>
                </w:tcPr>
                <w:p/>
              </w:tc>
              <w:tc>
                <w:tcPr>
                  <w:tcW w:w="1831" w:type="dxa"/>
                </w:tcPr>
                <w:p/>
              </w:tc>
              <w:tc>
                <w:tcPr>
                  <w:tcW w:w="2691" w:type="dxa"/>
                </w:tcPr>
                <w:p/>
              </w:tc>
              <w:tc>
                <w:tcPr>
                  <w:tcW w:w="2261" w:type="dxa"/>
                </w:tcPr>
                <w:p/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2163" w:type="dxa"/>
            <w:gridSpan w:val="2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/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食品安全小组组长：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  <w:lang w:val="en-US" w:eastAsia="zh-CN"/>
              </w:rPr>
              <w:t>韩恭萍 女士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pStyle w:val="6"/>
              <w:rPr>
                <w:rFonts w:hint="eastAsia"/>
                <w:lang w:val="en-US" w:eastAsia="zh-CN"/>
              </w:rPr>
            </w:pPr>
          </w:p>
          <w:p>
            <w:r>
              <w:t>食品安全组长负责：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确保FSMS的建立、实施、维护和更新；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管理和组织食品安全小组的工作；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确保食品安全团队的相关培训和能力；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 </w:t>
            </w:r>
            <w:r>
              <w:t>向最高管理层报告FSMS的有效性和适宜性。</w:t>
            </w:r>
          </w:p>
          <w:p/>
          <w:p>
            <w:r>
              <w:t>所有人员有责任向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食品安全组长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食品安全小组成员 </w:t>
            </w:r>
            <w:r>
              <w:t>报告与FSMS有关的问题</w:t>
            </w:r>
            <w:r>
              <w:rPr>
                <w:rFonts w:hint="eastAsia"/>
              </w:rPr>
              <w:t>。</w:t>
            </w:r>
          </w:p>
        </w:tc>
        <w:tc>
          <w:tcPr>
            <w:tcW w:w="1591" w:type="dxa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应对风险和机遇的措施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F6.1.1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管理手册第6.1条款、</w:t>
            </w:r>
            <w:r>
              <w:rPr>
                <w:rFonts w:hint="eastAsia" w:ascii="Times New Roman" w:hAnsi="Times New Roman" w:eastAsia="宋体" w:cs="Times New Roman"/>
              </w:rPr>
              <w:sym w:font="Wingdings" w:char="00FE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《风险和机遇控制程序》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分析风险的方法：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头脑风暴法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FMEA（潜在失效模式分析）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应对风险的措施类型包括：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规避风险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为寻求机遇承担风险、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消除风险源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改变风险的可能性和后果、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分担风险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通过信息充分的决策而保留风险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 xml:space="preserve">列举2~3项应对主要风险的描述：         </w:t>
            </w:r>
          </w:p>
          <w:tbl>
            <w:tblPr>
              <w:tblStyle w:val="8"/>
              <w:tblpPr w:leftFromText="180" w:rightFromText="180" w:vertAnchor="text" w:horzAnchor="page" w:tblpX="97" w:tblpY="20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4258"/>
              <w:gridCol w:w="17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主要的风险描述</w:t>
                  </w:r>
                </w:p>
              </w:tc>
              <w:tc>
                <w:tcPr>
                  <w:tcW w:w="4258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  <w:vAlign w:val="center"/>
                </w:tcPr>
                <w:p>
                  <w:pPr>
                    <w:widowControl/>
                    <w:spacing w:line="360" w:lineRule="exact"/>
                    <w:jc w:val="left"/>
                    <w:textAlignment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餐食安全控制不当，导致食物中毒</w:t>
                  </w:r>
                </w:p>
              </w:tc>
              <w:tc>
                <w:tcPr>
                  <w:tcW w:w="4258" w:type="dxa"/>
                </w:tcPr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集团统一控制食材采购；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每批进行验证合格入库；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Fonts w:hint="default" w:eastAsia="宋体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highlight w:val="none"/>
                      <w:lang w:val="en-US" w:eastAsia="zh-CN"/>
                    </w:rPr>
                    <w:t>加强客户对产品品质的反馈并及时处理</w:t>
                  </w: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none"/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rFonts w:hint="eastAsia" w:eastAsia="宋体"/>
                      <w:highlight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7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</w:p>
              </w:tc>
              <w:tc>
                <w:tcPr>
                  <w:tcW w:w="4258" w:type="dxa"/>
                </w:tcPr>
                <w:p>
                  <w:pPr>
                    <w:snapToGrid w:val="0"/>
                    <w:spacing w:line="360" w:lineRule="exact"/>
                    <w:jc w:val="left"/>
                    <w:rPr>
                      <w:rFonts w:ascii="宋体" w:hAnsi="宋体" w:cs="宋体"/>
                      <w:szCs w:val="21"/>
                      <w:highlight w:val="none"/>
                    </w:rPr>
                  </w:pPr>
                </w:p>
              </w:tc>
              <w:tc>
                <w:tcPr>
                  <w:tcW w:w="1717" w:type="dxa"/>
                </w:tcPr>
                <w:p>
                  <w:pPr>
                    <w:rPr>
                      <w:highlight w:val="none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 xml:space="preserve">应对机遇的措施类型包括： 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采用新实践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推出新产品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开辟新市场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赢得新顾客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建立合作伙伴关系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利用新技术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>
            <w:r>
              <w:rPr>
                <w:rFonts w:hint="eastAsia"/>
              </w:rPr>
              <w:t>列举2~3项应对重要机遇的描述：</w:t>
            </w:r>
          </w:p>
          <w:tbl>
            <w:tblPr>
              <w:tblStyle w:val="8"/>
              <w:tblpPr w:leftFromText="180" w:rightFromText="180" w:vertAnchor="text" w:horzAnchor="page" w:tblpX="106" w:tblpY="20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34"/>
              <w:gridCol w:w="3913"/>
              <w:gridCol w:w="17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</w:trPr>
              <w:tc>
                <w:tcPr>
                  <w:tcW w:w="3034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主要的机遇描述</w:t>
                  </w:r>
                </w:p>
              </w:tc>
              <w:tc>
                <w:tcPr>
                  <w:tcW w:w="3913" w:type="dxa"/>
                </w:tcPr>
                <w:p>
                  <w:pPr>
                    <w:rPr>
                      <w:szCs w:val="24"/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应对措施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措施的有效性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1" w:hRule="atLeast"/>
              </w:trPr>
              <w:tc>
                <w:tcPr>
                  <w:tcW w:w="3034" w:type="dxa"/>
                </w:tcPr>
                <w:p>
                  <w:pPr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渠道丰富，合作机会较多</w:t>
                  </w:r>
                </w:p>
              </w:tc>
              <w:tc>
                <w:tcPr>
                  <w:tcW w:w="3913" w:type="dxa"/>
                </w:tcPr>
                <w:p>
                  <w:pPr>
                    <w:pStyle w:val="2"/>
                    <w:numPr>
                      <w:ilvl w:val="0"/>
                      <w:numId w:val="2"/>
                    </w:numPr>
                    <w:ind w:left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通过建立体系，加强内部管理；</w:t>
                  </w:r>
                </w:p>
                <w:p>
                  <w:pPr>
                    <w:pStyle w:val="2"/>
                    <w:numPr>
                      <w:ilvl w:val="0"/>
                      <w:numId w:val="2"/>
                    </w:numPr>
                    <w:ind w:leftChars="0"/>
                    <w:rPr>
                      <w:rFonts w:hint="default" w:eastAsia="宋体"/>
                      <w:sz w:val="21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highlight w:val="none"/>
                      <w:lang w:val="en-US" w:eastAsia="zh-CN"/>
                    </w:rPr>
                    <w:t>加强员工培训，提高食品安全意识</w:t>
                  </w: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基本有效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8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rFonts w:asciiTheme="minorEastAsia" w:hAnsiTheme="minorEastAsia" w:eastAsiaTheme="minorEastAsia"/>
                      <w:szCs w:val="21"/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3" w:hRule="atLeast"/>
              </w:trPr>
              <w:tc>
                <w:tcPr>
                  <w:tcW w:w="3034" w:type="dxa"/>
                </w:tcPr>
                <w:p>
                  <w:pPr>
                    <w:rPr>
                      <w:szCs w:val="24"/>
                      <w:highlight w:val="yellow"/>
                    </w:rPr>
                  </w:pPr>
                </w:p>
              </w:tc>
              <w:tc>
                <w:tcPr>
                  <w:tcW w:w="3913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1752" w:type="dxa"/>
                </w:tcPr>
                <w:p>
                  <w:pPr>
                    <w:rPr>
                      <w:highlight w:val="yellow"/>
                    </w:rPr>
                  </w:pPr>
                </w:p>
              </w:tc>
            </w:tr>
          </w:tbl>
          <w:p/>
          <w:p>
            <w:r>
              <w:rPr>
                <w:rFonts w:hint="eastAsia"/>
              </w:rPr>
              <w:t>FSMS：</w:t>
            </w:r>
          </w:p>
          <w:p>
            <w:pPr>
              <w:jc w:val="left"/>
            </w:pPr>
            <w:r>
              <w:rPr>
                <w:rFonts w:hint="eastAsia"/>
              </w:rPr>
              <w:t>组织食品安全管理体系范围内的潜在紧急情况，如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法规未识别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违规操作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其他                      </w:t>
            </w:r>
          </w:p>
          <w:p/>
          <w:p>
            <w:pPr>
              <w:rPr>
                <w:u w:val="single"/>
              </w:rPr>
            </w:pPr>
            <w:r>
              <w:rPr>
                <w:rFonts w:hint="eastAsia"/>
              </w:rPr>
              <w:t>可能具有食品安全危害的潜在紧急情况，如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食物中毒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停水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停电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停蒸汽   </w:t>
            </w:r>
          </w:p>
          <w:p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 xml:space="preserve"> 制冷设备故障  </w:t>
            </w:r>
            <w:r>
              <w:rPr>
                <w:rFonts w:hint="eastAsia"/>
                <w:u w:val="single"/>
              </w:rPr>
              <w:sym w:font="Wingdings" w:char="00A8"/>
            </w:r>
            <w:r>
              <w:rPr>
                <w:rFonts w:hint="eastAsia"/>
                <w:u w:val="single"/>
              </w:rPr>
              <w:t xml:space="preserve">车辆故障   </w:t>
            </w:r>
            <w:r>
              <w:rPr>
                <w:rFonts w:hint="eastAsia"/>
                <w:u w:val="single"/>
              </w:rPr>
              <w:sym w:font="Wingdings" w:char="00FE"/>
            </w:r>
            <w:r>
              <w:rPr>
                <w:rFonts w:hint="eastAsia"/>
                <w:u w:val="single"/>
              </w:rPr>
              <w:t>其他</w:t>
            </w:r>
            <w:r>
              <w:rPr>
                <w:rFonts w:hint="eastAsia"/>
                <w:u w:val="single"/>
                <w:lang w:eastAsia="zh-CN"/>
              </w:rPr>
              <w:t>——</w:t>
            </w:r>
            <w:r>
              <w:rPr>
                <w:rFonts w:hint="eastAsia"/>
                <w:u w:val="single"/>
                <w:lang w:val="en-US" w:eastAsia="zh-CN"/>
              </w:rPr>
              <w:t xml:space="preserve">供应链发生变化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/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确保FSMS 能够达到其预期结果;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提高理想效果;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防止或减少不良后果;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CIDFont+F5" w:hAnsi="CIDFont+F5" w:eastAsia="CIDFont+F5"/>
              </w:rPr>
              <w:t xml:space="preserve"> 实现持续改进。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/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该组织策划了：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a) 解决这些风险和机遇的行动;——企业提供了《</w:t>
            </w:r>
            <w:r>
              <w:rPr>
                <w:rFonts w:hint="eastAsia" w:ascii="CIDFont+F5" w:hAnsi="CIDFont+F5" w:eastAsia="CIDFont+F5"/>
                <w:lang w:val="en-US" w:eastAsia="zh-CN"/>
              </w:rPr>
              <w:t>应对机遇和风险措施单</w:t>
            </w:r>
            <w:r>
              <w:rPr>
                <w:rFonts w:hint="eastAsia" w:ascii="CIDFont+F5" w:hAnsi="CIDFont+F5" w:eastAsia="CIDFont+F5"/>
              </w:rPr>
              <w:t>》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并进行了: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1) 将行动整合并实施到其FSMS流程中;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2) 评估这些行动的有效性。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>
            <w:pPr>
              <w:rPr>
                <w:highlight w:val="yellow"/>
              </w:rPr>
            </w:pPr>
          </w:p>
        </w:tc>
        <w:tc>
          <w:tcPr>
            <w:tcW w:w="960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F6.1.3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该组织为应对风险和机遇而采取的行动与以下方面相称：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 xml:space="preserve">a) 对食品安全要求的影响;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  <w:rPr>
                <w:rFonts w:ascii="CIDFont+F5" w:hAnsi="CIDFont+F5" w:eastAsia="CIDFont+F5"/>
              </w:rPr>
            </w:pPr>
            <w:r>
              <w:rPr>
                <w:rFonts w:hint="eastAsia" w:ascii="CIDFont+F5" w:hAnsi="CIDFont+F5" w:eastAsia="CIDFont+F5"/>
              </w:rPr>
              <w:t>b) 为顾客提供一致的食品产品与服务;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  <w:p>
            <w:pPr>
              <w:jc w:val="left"/>
            </w:pPr>
            <w:r>
              <w:rPr>
                <w:rFonts w:hint="eastAsia" w:ascii="CIDFont+F5" w:hAnsi="CIDFont+F5" w:eastAsia="CIDFont+F5"/>
              </w:rPr>
              <w:t xml:space="preserve">c) 食品链中相关方的要求。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 w:ascii="CIDFont+F5" w:hAnsi="CIDFont+F5" w:eastAsia="CIDFont+F5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 w:ascii="CIDFont+F5" w:hAnsi="CIDFont+F5" w:eastAsia="CIDFont+F5"/>
              </w:rPr>
              <w:t>否，说明</w:t>
            </w:r>
            <w:r>
              <w:rPr>
                <w:rFonts w:hint="eastAsia" w:ascii="CIDFont+F5" w:hAnsi="CIDFont+F5" w:eastAsia="CIDFont+F5"/>
                <w:u w:val="single"/>
              </w:rPr>
              <w:t xml:space="preserve">                    </w:t>
            </w:r>
            <w:r>
              <w:rPr>
                <w:rFonts w:hint="eastAsia" w:ascii="CIDFont+F5" w:hAnsi="CIDFont+F5" w:eastAsia="CIDFont+F5"/>
              </w:rPr>
              <w:t xml:space="preserve">  </w:t>
            </w:r>
          </w:p>
        </w:tc>
        <w:tc>
          <w:tcPr>
            <w:tcW w:w="1591" w:type="dxa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食品安全目标及其实现的策划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F6.2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手册第6.2条款、《目标管理程序》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食品安全目标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考核结果统计表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组织建立了与方针一致的文件化的管理目标。为实现总的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目标具体、有针对性、可测量并且可实现。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</w:t>
            </w:r>
            <w:r>
              <w:rPr>
                <w:rFonts w:hint="eastAsia" w:ascii="宋体" w:hAnsi="宋体"/>
                <w:szCs w:val="21"/>
              </w:rPr>
              <w:t>食品安全</w:t>
            </w:r>
            <w:r>
              <w:rPr>
                <w:rFonts w:hint="eastAsia"/>
              </w:rPr>
              <w:t>目标实现情况的评价，及其测量方法是：</w:t>
            </w:r>
          </w:p>
          <w:p>
            <w:pPr>
              <w:pStyle w:val="2"/>
              <w:rPr>
                <w:rFonts w:hint="eastAsia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94"/>
              <w:gridCol w:w="1219"/>
              <w:gridCol w:w="2314"/>
              <w:gridCol w:w="22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279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目标</w:t>
                  </w:r>
                </w:p>
              </w:tc>
              <w:tc>
                <w:tcPr>
                  <w:tcW w:w="121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考核频次</w:t>
                  </w:r>
                </w:p>
              </w:tc>
              <w:tc>
                <w:tcPr>
                  <w:tcW w:w="231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计算方法</w:t>
                  </w:r>
                </w:p>
              </w:tc>
              <w:tc>
                <w:tcPr>
                  <w:tcW w:w="227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/>
                      <w:szCs w:val="21"/>
                    </w:rPr>
                    <w:t>完成情况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rFonts w:asciiTheme="minorEastAsia" w:hAnsiTheme="minorEastAsia" w:eastAsiaTheme="minorEastAsia"/>
                      <w:color w:val="000000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(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2021-08</w:t>
                  </w:r>
                  <w:r>
                    <w:rPr>
                      <w:rFonts w:hint="default" w:ascii="Times New Roman" w:hAnsi="Times New Roman" w:cs="Times New Roman" w:eastAsiaTheme="minorEastAsia"/>
                      <w:szCs w:val="21"/>
                      <w:lang w:val="en-US" w:eastAsia="zh-CN"/>
                    </w:rPr>
                    <w:t>~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2021-10</w:t>
                  </w: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</w:trPr>
              <w:tc>
                <w:tcPr>
                  <w:tcW w:w="2794" w:type="dxa"/>
                  <w:vAlign w:val="center"/>
                </w:tcPr>
                <w:p>
                  <w:pPr>
                    <w:spacing w:line="480" w:lineRule="exact"/>
                    <w:jc w:val="left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eastAsia="zh-CN"/>
                    </w:rPr>
                    <w:t>产品监督抽查合格率</w:t>
                  </w: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100%</w:t>
                  </w:r>
                </w:p>
              </w:tc>
              <w:tc>
                <w:tcPr>
                  <w:tcW w:w="121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季度</w:t>
                  </w:r>
                </w:p>
              </w:tc>
              <w:tc>
                <w:tcPr>
                  <w:tcW w:w="23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合格数/总数</w:t>
                  </w:r>
                  <w:r>
                    <w:rPr>
                      <w:rFonts w:hint="eastAsia" w:ascii="宋体" w:hAnsi="宋体"/>
                      <w:color w:val="000000"/>
                      <w:sz w:val="18"/>
                      <w:szCs w:val="18"/>
                    </w:rPr>
                    <w:t>×100%</w:t>
                  </w:r>
                </w:p>
              </w:tc>
              <w:tc>
                <w:tcPr>
                  <w:tcW w:w="2271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2794" w:type="dxa"/>
                  <w:vAlign w:val="center"/>
                </w:tcPr>
                <w:p>
                  <w:pPr>
                    <w:spacing w:line="500" w:lineRule="exact"/>
                    <w:jc w:val="left"/>
                    <w:rPr>
                      <w:rFonts w:hint="default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highlight w:val="none"/>
                      <w:lang w:val="en-US" w:eastAsia="zh-CN"/>
                    </w:rPr>
                    <w:t>重大食品安全事故为0</w:t>
                  </w:r>
                </w:p>
              </w:tc>
              <w:tc>
                <w:tcPr>
                  <w:tcW w:w="121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23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实际发生次数</w:t>
                  </w:r>
                </w:p>
              </w:tc>
              <w:tc>
                <w:tcPr>
                  <w:tcW w:w="22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" w:hRule="atLeast"/>
              </w:trPr>
              <w:tc>
                <w:tcPr>
                  <w:tcW w:w="2794" w:type="dxa"/>
                  <w:vAlign w:val="center"/>
                </w:tcPr>
                <w:p>
                  <w:pPr>
                    <w:jc w:val="left"/>
                    <w:rPr>
                      <w:rFonts w:hint="eastAsia" w:ascii="Times New Roman" w:hAnsi="Times New Roman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121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31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  <w:tc>
                <w:tcPr>
                  <w:tcW w:w="22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Times New Roman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</w:p>
              </w:tc>
            </w:tr>
          </w:tbl>
          <w:p>
            <w:pPr>
              <w:rPr>
                <w:rFonts w:ascii="宋体" w:hAnsi="宋体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instrText xml:space="preserve"> eq \o\ac(□,√)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目标已实现；2021年11月-12月目标在实施中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  <w:shd w:val="clear" w:color="auto" w:fill="auto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变更的策划</w:t>
            </w:r>
          </w:p>
          <w:p/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F6.3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手册第6.3章</w:t>
            </w:r>
            <w:r>
              <w:rPr>
                <w:rFonts w:hint="eastAsia"/>
                <w:lang w:eastAsia="zh-CN"/>
              </w:rPr>
              <w:t>、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t>组织对相关管理体系进行变更时，变更应按所策划的方式实施；审核周期内的重大变更有：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□组织结构变更 □部门职责变更 □主要原材料 □关键人员 □生产工艺/服务流程 </w:t>
            </w:r>
          </w:p>
          <w:p>
            <w:pPr>
              <w:spacing w:before="40" w:after="40"/>
            </w:pPr>
            <w:r>
              <w:rPr>
                <w:rFonts w:hint="eastAsia"/>
              </w:rPr>
              <w:t xml:space="preserve">□主要设备设施 □主要检测设备 </w:t>
            </w:r>
            <w:r>
              <w:rPr/>
              <w:sym w:font="Wingdings" w:char="00FE"/>
            </w:r>
            <w:r>
              <w:rPr>
                <w:rFonts w:hint="eastAsia"/>
              </w:rPr>
              <w:t>其他——体系建立以来未发生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6"/>
              <w:gridCol w:w="3632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</w:trPr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体系变更的内容说明</w:t>
                  </w:r>
                </w:p>
              </w:tc>
              <w:tc>
                <w:tcPr>
                  <w:tcW w:w="3632" w:type="dxa"/>
                </w:tcPr>
                <w:p/>
              </w:tc>
              <w:tc>
                <w:tcPr>
                  <w:tcW w:w="3015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评价内容</w:t>
                  </w:r>
                </w:p>
              </w:tc>
              <w:tc>
                <w:tcPr>
                  <w:tcW w:w="3632" w:type="dxa"/>
                </w:tcPr>
                <w:p>
                  <w:r>
                    <w:rPr>
                      <w:rFonts w:hint="eastAsia"/>
                    </w:rPr>
                    <w:t>评价具体描述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变更目的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其潜在后果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质量管理体系的完整性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资源的可获得性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6" w:type="dxa"/>
                </w:tcPr>
                <w:p>
                  <w:r>
                    <w:rPr>
                      <w:rFonts w:hint="eastAsia"/>
                    </w:rPr>
                    <w:t>职责和权限的分配或再分配</w:t>
                  </w:r>
                </w:p>
              </w:tc>
              <w:tc>
                <w:tcPr>
                  <w:tcW w:w="3632" w:type="dxa"/>
                  <w:vAlign w:val="top"/>
                </w:tcPr>
                <w:p>
                  <w:pP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——</w:t>
                  </w:r>
                </w:p>
              </w:tc>
              <w:tc>
                <w:tcPr>
                  <w:tcW w:w="3015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可以满足   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不可以满足</w:t>
                  </w:r>
                </w:p>
              </w:tc>
            </w:tr>
          </w:tbl>
          <w:p/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资源（总则）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F7.1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>管理手册第7.1章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和最高管理层确定并提供所需的资源，以建立、实施、保持和持续改进质量管理体系。 </w:t>
            </w:r>
          </w:p>
          <w:p>
            <w:pPr>
              <w:numPr>
                <w:ilvl w:val="0"/>
                <w:numId w:val="3"/>
              </w:num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现有内部资源的能力；</w:t>
            </w:r>
          </w:p>
          <w:p>
            <w:pPr>
              <w:rPr>
                <w:rFonts w:hint="eastAsia"/>
                <w:strike/>
                <w:dstrike w:val="0"/>
                <w:highlight w:val="none"/>
              </w:rPr>
            </w:pPr>
            <w:r>
              <w:rPr>
                <w:rFonts w:hint="eastAsia"/>
                <w:strike/>
                <w:dstrike w:val="0"/>
                <w:highlight w:val="none"/>
              </w:rPr>
              <w:t>建筑面积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</w:t>
            </w:r>
            <w:r>
              <w:rPr>
                <w:strike/>
                <w:dstrike w:val="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strike/>
                <w:dstrike w:val="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trike/>
                <w:dstrike w:val="0"/>
                <w:highlight w:val="none"/>
              </w:rPr>
              <w:t>；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后厨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trike/>
                <w:dstrike w:val="0"/>
                <w:highlight w:val="none"/>
              </w:rPr>
              <w:t>个；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trike/>
                <w:dstrike w:val="0"/>
                <w:highlight w:val="none"/>
              </w:rPr>
              <w:t>；</w:t>
            </w:r>
            <w:r>
              <w:rPr>
                <w:rFonts w:hint="eastAsia"/>
                <w:strike/>
                <w:dstrike w:val="0"/>
                <w:highlight w:val="none"/>
                <w:lang w:val="en-US" w:eastAsia="zh-CN"/>
              </w:rPr>
              <w:t>仓库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strike/>
                <w:dstrike w:val="0"/>
                <w:highlight w:val="none"/>
              </w:rPr>
              <w:t>个</w:t>
            </w:r>
          </w:p>
          <w:p>
            <w:pPr>
              <w:rPr>
                <w:rFonts w:hint="eastAsia"/>
                <w:strike/>
                <w:dstrike w:val="0"/>
                <w:highlight w:val="none"/>
                <w:u w:val="single"/>
              </w:rPr>
            </w:pPr>
            <w:r>
              <w:rPr>
                <w:rFonts w:hint="eastAsia"/>
                <w:strike/>
                <w:dstrike w:val="0"/>
                <w:highlight w:val="none"/>
              </w:rPr>
              <w:t>主要设备有：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trike/>
                <w:dstrike w:val="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trike/>
                <w:dstrike w:val="0"/>
                <w:highlight w:val="none"/>
                <w:u w:val="single"/>
              </w:rPr>
              <w:t>（列举2~4种）</w:t>
            </w:r>
          </w:p>
          <w:p>
            <w:pPr>
              <w:pStyle w:val="6"/>
              <w:ind w:left="0" w:leftChars="0" w:firstLine="0" w:firstLineChars="0"/>
              <w:rPr>
                <w:rFonts w:hint="eastAsia"/>
              </w:rPr>
            </w:pPr>
            <w:bookmarkStart w:id="2" w:name="_GoBack"/>
            <w:r>
              <w:rPr>
                <w:rFonts w:hint="eastAsia"/>
              </w:rPr>
              <w:t>餐饮部民国楼属于华江饭店餐饮部分，经营面积5000平方米。配备有餐厅（三个大厅，19个包厢）和厨房（2个厨房及配套的预处理，洗消间），2个常温仓库，1个冷冻库。配备的设备主要有单头矮汤炉、四门冰柜、整箱、和面积、压面机、吸油烟机等。设有卫生间在同楼层，与厨房加工区有分隔；设有简单更衣室；</w:t>
            </w:r>
          </w:p>
          <w:bookmarkEnd w:id="2"/>
          <w:p>
            <w:pPr>
              <w:pStyle w:val="6"/>
              <w:ind w:left="0" w:leftChars="0" w:firstLine="0" w:firstLineChars="0"/>
              <w:rPr>
                <w:rFonts w:hint="eastAsia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改建/扩建施工现场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其他——不涉及 </w:t>
            </w:r>
          </w:p>
          <w:p/>
          <w:p>
            <w:r>
              <w:rPr>
                <w:rFonts w:hint="eastAsia"/>
              </w:rPr>
              <w:t>特种设备：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叉车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行车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锅炉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电梯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压力容器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压力管道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不适用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特种设备管理：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进行了定期检验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未进行定期检验的有：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4"/>
              </w:num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还存在哪些局限和不足：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        无                          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color w:val="000000"/>
                <w:szCs w:val="21"/>
                <w:highlight w:val="none"/>
              </w:rPr>
              <w:t>需要从外部供方获得的资源：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>无</w:t>
            </w:r>
            <w:r>
              <w:rPr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  <w:color w:val="000000"/>
                <w:szCs w:val="21"/>
              </w:rPr>
              <w:t>人员</w:t>
            </w:r>
          </w:p>
        </w:tc>
        <w:tc>
          <w:tcPr>
            <w:tcW w:w="960" w:type="dxa"/>
            <w:vMerge w:val="restart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F7.1.1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F7.1.2</w:t>
            </w:r>
          </w:p>
          <w:p>
            <w:pPr>
              <w:pStyle w:val="6"/>
            </w:pP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</w:rPr>
              <w:t>如：</w:t>
            </w:r>
            <w:r>
              <w:rPr/>
              <w:sym w:font="Wingdings" w:char="00FE"/>
            </w:r>
            <w:r>
              <w:rPr>
                <w:rFonts w:hint="eastAsia"/>
              </w:rPr>
              <w:t xml:space="preserve">手册第7.1.1、7.1.2条款  </w:t>
            </w:r>
            <w:r>
              <w:rPr/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人力资源管理程序</w:t>
            </w:r>
            <w:r>
              <w:rPr>
                <w:rFonts w:hint="eastAsia"/>
              </w:rPr>
              <w:t>》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pPr>
              <w:rPr>
                <w:b/>
                <w:bCs/>
              </w:rPr>
            </w:pPr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和最高管理者了解了组织应确定并配备所需的人员情况。</w:t>
            </w:r>
          </w:p>
          <w:p>
            <w:pPr>
              <w:rPr>
                <w:color w:val="000000"/>
                <w:szCs w:val="21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1"/>
              <w:gridCol w:w="1292"/>
              <w:gridCol w:w="1292"/>
              <w:gridCol w:w="1292"/>
              <w:gridCol w:w="1292"/>
              <w:gridCol w:w="1292"/>
              <w:gridCol w:w="1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管理人员数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技术人员数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操作人员数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临时工数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季节工数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辅助人员数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总人数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91" w:type="dxa"/>
                </w:tcPr>
                <w:p>
                  <w:pPr>
                    <w:rPr>
                      <w:rFonts w:hint="eastAsia" w:eastAsia="宋体"/>
                      <w:color w:val="000000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53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0</w:t>
                  </w:r>
                </w:p>
              </w:tc>
              <w:tc>
                <w:tcPr>
                  <w:tcW w:w="1292" w:type="dxa"/>
                </w:tcPr>
                <w:p>
                  <w:pPr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59</w:t>
                  </w:r>
                </w:p>
              </w:tc>
            </w:tr>
          </w:tbl>
          <w:p/>
          <w:p>
            <w:r>
              <w:rPr>
                <w:rFonts w:hint="eastAsia"/>
              </w:rPr>
              <w:t>建立、 实施、 运行或评估食品安全管理体系时是否聘用外部专家：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否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00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4"/>
              <w:gridCol w:w="4234"/>
              <w:gridCol w:w="30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最高学历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专科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本科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硕士以上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教育专业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食品相应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食品相关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食品不相关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职称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助理工程师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工程师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高级工程师以上 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00"/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专业工作经历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 xml:space="preserve">    年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9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责任和权限</w:t>
                  </w:r>
                </w:p>
              </w:tc>
              <w:tc>
                <w:tcPr>
                  <w:tcW w:w="4234" w:type="dxa"/>
                  <w:shd w:val="clear" w:color="auto" w:fill="auto"/>
                </w:tcPr>
                <w:p>
                  <w:r>
                    <w:rPr>
                      <w:rFonts w:hint="eastAsia"/>
                    </w:rPr>
                    <w:t>负责建立和保持管理体系</w:t>
                  </w:r>
                </w:p>
              </w:tc>
              <w:tc>
                <w:tcPr>
                  <w:tcW w:w="3015" w:type="dxa"/>
                  <w:shd w:val="clear" w:color="auto" w:fill="auto"/>
                </w:tcPr>
                <w:p/>
              </w:tc>
            </w:tr>
          </w:tbl>
          <w:p>
            <w:r>
              <w:rPr>
                <w:rFonts w:hint="eastAsia"/>
              </w:rPr>
              <w:t xml:space="preserve">        </w:t>
            </w:r>
          </w:p>
          <w:p>
            <w:r>
              <w:rPr>
                <w:rFonts w:hint="eastAsia"/>
              </w:rPr>
              <w:t>保留了外部专家的协议或合同。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 （不涉及）</w:t>
            </w:r>
          </w:p>
          <w:p>
            <w:r>
              <w:rPr>
                <w:rFonts w:hint="eastAsia"/>
              </w:rPr>
              <w:t xml:space="preserve">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43" w:hRule="atLeast"/>
        </w:trPr>
        <w:tc>
          <w:tcPr>
            <w:tcW w:w="2149" w:type="dxa"/>
            <w:vMerge w:val="restart"/>
            <w:shd w:val="clear" w:color="auto" w:fill="auto"/>
          </w:tcPr>
          <w:p>
            <w:r>
              <w:t>食品安全管理体系外部建立的要素</w:t>
            </w:r>
          </w:p>
        </w:tc>
        <w:tc>
          <w:tcPr>
            <w:tcW w:w="960" w:type="dxa"/>
            <w:vMerge w:val="restart"/>
            <w:shd w:val="clear" w:color="auto" w:fill="auto"/>
          </w:tcPr>
          <w:p>
            <w:r>
              <w:rPr>
                <w:rFonts w:hint="eastAsia"/>
                <w:color w:val="000000"/>
                <w:szCs w:val="21"/>
              </w:rPr>
              <w:t>F7.1.5</w:t>
            </w:r>
          </w:p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  <w:shd w:val="clear" w:color="auto" w:fill="auto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如：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  <w:color w:val="000000"/>
                <w:szCs w:val="21"/>
              </w:rPr>
              <w:t>7.1.5</w:t>
            </w:r>
            <w:r>
              <w:rPr>
                <w:rFonts w:hint="eastAsia"/>
              </w:rPr>
              <w:t>条款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前提方案</w:t>
            </w:r>
            <w:r>
              <w:rPr>
                <w:rFonts w:hint="eastAsia"/>
                <w:lang w:eastAsia="zh-CN"/>
              </w:rPr>
              <w:t>》、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危害控制计划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591" w:type="dxa"/>
            <w:vMerge w:val="restart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符合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1690" w:hRule="atLeast"/>
        </w:trPr>
        <w:tc>
          <w:tcPr>
            <w:tcW w:w="2149" w:type="dxa"/>
            <w:vMerge w:val="continue"/>
            <w:shd w:val="clear" w:color="auto" w:fill="auto"/>
          </w:tcPr>
          <w:p/>
        </w:tc>
        <w:tc>
          <w:tcPr>
            <w:tcW w:w="960" w:type="dxa"/>
            <w:vMerge w:val="continue"/>
            <w:shd w:val="clear" w:color="auto" w:fill="auto"/>
          </w:tcPr>
          <w:p/>
        </w:tc>
        <w:tc>
          <w:tcPr>
            <w:tcW w:w="745" w:type="dxa"/>
            <w:shd w:val="clear" w:color="auto" w:fill="auto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  <w:shd w:val="clear" w:color="auto" w:fill="auto"/>
          </w:tcPr>
          <w:p>
            <w:r>
              <w:rPr>
                <w:rFonts w:hint="eastAsia"/>
              </w:rPr>
              <w:t>组织使用外部建立的FSMS要素，包括：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建立PRP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进行危害分析和危害控制计划</w:t>
            </w:r>
          </w:p>
          <w:p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建立、保持、更新和持续改进其FSMS</w:t>
            </w:r>
          </w:p>
          <w:p/>
          <w:p>
            <w:r>
              <w:rPr>
                <w:rFonts w:hint="eastAsia"/>
              </w:rPr>
              <w:t>组织确保所提供的要素为：</w:t>
            </w:r>
          </w:p>
          <w:p>
            <w:r>
              <w:rPr>
                <w:rFonts w:hint="eastAsia"/>
              </w:rPr>
              <w:t xml:space="preserve">a） 以符合ISO22000标准要求的方式建立；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否  </w:t>
            </w:r>
          </w:p>
          <w:p>
            <w:r>
              <w:rPr>
                <w:rFonts w:hint="eastAsia"/>
              </w:rPr>
              <w:t xml:space="preserve">b） 适用于受审核方的场所、过程和产品；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>c） 与食品安全小组调整其与受审核方的工艺和产品相适应；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d） 按ISO22000标准要求实施、保持和更新；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>
            <w:r>
              <w:rPr>
                <w:rFonts w:hint="eastAsia"/>
              </w:rPr>
              <w:t xml:space="preserve">e） 作为文件信息保留。                            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eq \o\ac(□,√)</w:instrTex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 xml:space="preserve">是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91" w:type="dxa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监视、测量、分析和评价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F9.1.1</w:t>
            </w:r>
          </w:p>
          <w:p/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管理手册9.1.1条款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组织对监视和测量的食品安全绩效：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3"/>
              <w:gridCol w:w="2208"/>
              <w:gridCol w:w="2115"/>
              <w:gridCol w:w="1809"/>
              <w:gridCol w:w="17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监视和测量的对象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监视、测量、分析和评价的方法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监视和测量的频次和时机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评价其食品安全绩效所依据的准则和适当的参数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分析和评价的频次和时机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产品和生产用水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委托外部定期进行检测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rFonts w:hint="default"/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>餐食、餐具、生产用水：每年委托外部进行1次验证</w:t>
                  </w:r>
                </w:p>
              </w:tc>
              <w:tc>
                <w:tcPr>
                  <w:tcW w:w="1809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="Times New Roman" w:hAnsi="Times New Roman" w:cs="Times New Roman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color w:val="444444"/>
                      <w:kern w:val="0"/>
                      <w:sz w:val="22"/>
                      <w:szCs w:val="22"/>
                      <w:lang w:val="en-US" w:eastAsia="zh-CN" w:bidi="ar"/>
                    </w:rPr>
                    <w:t>GB 14934-2016</w:t>
                  </w:r>
                </w:p>
                <w:p>
                  <w:pPr>
                    <w:rPr>
                      <w:rFonts w:hint="default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  <w:lang w:val="en-US" w:eastAsia="zh-CN"/>
                    </w:rPr>
                    <w:t xml:space="preserve">、GB5749-2006、DBS 32/003-2014 </w:t>
                  </w:r>
                </w:p>
              </w:tc>
              <w:tc>
                <w:tcPr>
                  <w:tcW w:w="1738" w:type="dxa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过程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现场巡视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抽查记录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对目标、供方业绩、过程业绩、满意度进行统计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定期检查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抽查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相关标准、程序文件要求等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hint="eastAsia" w:ascii="Segoe UI Emoji" w:hAnsi="Segoe UI Emoji" w:cs="Segoe UI Emoji"/>
                      <w:color w:val="000000"/>
                      <w:sz w:val="15"/>
                      <w:szCs w:val="15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内部审核；对内审不符合项进行分析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按年度内审计划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内部审核控制程序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体系有效性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管理评审，对FSMS存在的需要问题进行分析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  <w:color w:val="000000"/>
                      <w:szCs w:val="21"/>
                    </w:rPr>
                    <w:t>特殊情况增加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rFonts w:hint="eastAsia" w:eastAsia="宋体"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szCs w:val="21"/>
                    </w:rPr>
                    <w:t>ISO22000：2018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《</w:t>
                  </w:r>
                  <w:r>
                    <w:rPr>
                      <w:rFonts w:hint="eastAsia"/>
                      <w:szCs w:val="21"/>
                      <w:lang w:val="en-US" w:eastAsia="zh-CN"/>
                    </w:rPr>
                    <w:t>管理评审控制程序</w:t>
                  </w:r>
                  <w:r>
                    <w:rPr>
                      <w:rFonts w:hint="eastAsia"/>
                      <w:szCs w:val="21"/>
                      <w:lang w:eastAsia="zh-CN"/>
                    </w:rPr>
                    <w:t>》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3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相关方反馈</w:t>
                  </w:r>
                </w:p>
              </w:tc>
              <w:tc>
                <w:tcPr>
                  <w:tcW w:w="2208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反馈处理，对问题进行统计</w:t>
                  </w:r>
                </w:p>
              </w:tc>
              <w:tc>
                <w:tcPr>
                  <w:tcW w:w="2115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809" w:type="dxa"/>
                </w:tcPr>
                <w:p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按企业程序文件</w:t>
                  </w:r>
                </w:p>
              </w:tc>
              <w:tc>
                <w:tcPr>
                  <w:tcW w:w="173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  <w:szCs w:val="21"/>
                    </w:rPr>
                    <w:t>每月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  <w:szCs w:val="21"/>
                    </w:rPr>
                    <w:t xml:space="preserve">每季度 </w:t>
                  </w:r>
                  <w:r>
                    <w:rPr>
                      <w:rFonts w:ascii="Segoe UI Emoji" w:hAnsi="Segoe UI Emoji" w:cs="Segoe UI Emoji"/>
                      <w:color w:val="000000"/>
                      <w:sz w:val="15"/>
                      <w:szCs w:val="15"/>
                    </w:rPr>
                    <w:t>☑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每年</w:t>
                  </w:r>
                </w:p>
              </w:tc>
            </w:tr>
          </w:tbl>
          <w:p/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管理评审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F9.3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《管理评审控制程序》 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</w:t>
            </w:r>
            <w:r>
              <w:rPr/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color w:val="000000"/>
                <w:szCs w:val="18"/>
              </w:rPr>
              <w:t>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2021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15 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21"/>
              </w:rPr>
              <w:t xml:space="preserve">☑管理评审计划  ☑管理评审记录（工作总结）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管理评审纪要  ☑管理评审报告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58"/>
              <w:gridCol w:w="1869"/>
              <w:gridCol w:w="28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管理评审输入信息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评价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问题描述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以往管理评审所采取措施的情况；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  <w:color w:val="000000"/>
                      <w:szCs w:val="21"/>
                    </w:rPr>
                    <w:t>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首次建立体系，未发生以往管理评审。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color w:val="000000"/>
                      <w:szCs w:val="21"/>
                    </w:rPr>
                    <w:t>组织所处形势的变化</w:t>
                  </w:r>
                  <w:r>
                    <w:rPr>
                      <w:rFonts w:hint="eastAsia"/>
                    </w:rPr>
                    <w:t>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发生的紧急情况、事故或撤回；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与食品安全管理体系有关的内部和外部因素变化，包括顾客和顾客投诉；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食品安全绩效和食品安全管理体系不符合和纠正措施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监视和测量结果及趋势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审核结果（内部和外部） 包括执法检查结果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与PRP、 OPRP计划和HACCP计划有关的验证活动结果的分析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实现食品安全管理体系目标的程度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外部供方绩效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sym w:font="Wingdings" w:char="00FE"/>
                  </w:r>
                  <w:r>
                    <w:rPr>
                      <w:color w:val="000000"/>
                      <w:szCs w:val="21"/>
                    </w:rPr>
                    <w:t>体系更新活动的评审结果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顾客反馈的沟通活动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紧急情况、事故或撤回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持续改进的机会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的评审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资源的充分性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358" w:type="dxa"/>
                </w:tcPr>
                <w:p>
                  <w:pPr>
                    <w:widowControl/>
                    <w:spacing w:before="40"/>
                    <w:jc w:val="left"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</w:t>
                  </w:r>
                  <w:r>
                    <w:rPr>
                      <w:color w:val="000000"/>
                      <w:szCs w:val="21"/>
                    </w:rPr>
                    <w:t>为应对风险和机遇所采取措施的有效性</w:t>
                  </w:r>
                </w:p>
              </w:tc>
              <w:tc>
                <w:tcPr>
                  <w:tcW w:w="186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☑符合 □不符合</w:t>
                  </w:r>
                </w:p>
              </w:tc>
              <w:tc>
                <w:tcPr>
                  <w:tcW w:w="281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</w:p>
              </w:tc>
            </w:tr>
          </w:tbl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21"/>
                <w:highlight w:val="cyan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对食品安全管理体系的持续适宜性，充分性，有效性的结论。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满足</w:t>
            </w:r>
            <w:r>
              <w:rPr>
                <w:rFonts w:hint="eastAsia"/>
                <w:color w:val="000000"/>
                <w:szCs w:val="21"/>
              </w:rPr>
              <w:t xml:space="preserve"> □</w:t>
            </w:r>
            <w:r>
              <w:rPr>
                <w:rFonts w:hint="eastAsia"/>
              </w:rPr>
              <w:t>不满足，说明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tbl>
            <w:tblPr>
              <w:tblStyle w:val="8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2"/>
              <w:gridCol w:w="3695"/>
              <w:gridCol w:w="24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管理评审输出信息（决策）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措施描述（举例）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改进措施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与持续改进机会相关的决策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jc w:val="left"/>
                    <w:rPr>
                      <w:rFonts w:hint="default" w:eastAsia="宋体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加强员工培训，提高对体系的理解及运用，控制并且降低食品安全风险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食品安全管理体系所需的变更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</w:rPr>
                    <w:t>资源需求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食品安全目标未实现所采取的措施。（需要时）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改进食品安全管理体系与其他业务过程融合的机会。（需要时）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任何与组织战略方向相关的结论</w:t>
                  </w:r>
                </w:p>
              </w:tc>
              <w:tc>
                <w:tcPr>
                  <w:tcW w:w="3695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——</w:t>
                  </w:r>
                </w:p>
              </w:tc>
              <w:tc>
                <w:tcPr>
                  <w:tcW w:w="249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已落实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□</w:t>
                  </w:r>
                  <w:r>
                    <w:rPr>
                      <w:rFonts w:hint="eastAsia"/>
                    </w:rPr>
                    <w:t>已部分落实</w:t>
                  </w:r>
                </w:p>
              </w:tc>
            </w:tr>
          </w:tbl>
          <w:p>
            <w:pPr>
              <w:rPr>
                <w:highlight w:val="cyan"/>
              </w:rPr>
            </w:pP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改进措施未落实的原因：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  <w:lang w:val="en-US" w:eastAsia="zh-CN"/>
              </w:rPr>
              <w:t>计划2021年12月底前完成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持续改进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管理手册10.2条款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 xml:space="preserve">组织已持续改进食品安全管理体系的适宜性、充分性和有效性，以提升食品安全绩效。 </w:t>
            </w:r>
          </w:p>
          <w:p>
            <w:r>
              <w:rPr>
                <w:rFonts w:hint="eastAsia"/>
              </w:rPr>
              <w:t>组织考虑了分析和评价的结果以及管理评审的输出，确定是否存在需求或机遇，这些需求或机遇应作为持续改进的一部分加以应对。</w:t>
            </w:r>
          </w:p>
          <w:p>
            <w:pPr>
              <w:pStyle w:val="6"/>
            </w:pP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改进措施已落实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改进措施未落实的原因：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  <w:lang w:val="en-US" w:eastAsia="zh-CN"/>
              </w:rPr>
              <w:t>计划2021年12月底前完成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rPr>
                <w:rFonts w:hint="eastAsia"/>
              </w:rPr>
              <w:t>最高管理者应确保组织通过以下活动，持续改进食品安全管理体系的有效性：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沟通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管理评审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内部审核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验证活动结果分析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控制措施验证和控制措施组合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纠正措施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FSMS更新 。</w:t>
            </w:r>
          </w:p>
        </w:tc>
        <w:tc>
          <w:tcPr>
            <w:tcW w:w="159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3" w:type="dxa"/>
            <w:gridSpan w:val="2"/>
            <w:vMerge w:val="restart"/>
          </w:tcPr>
          <w:p>
            <w:r>
              <w:rPr>
                <w:rFonts w:hint="eastAsia"/>
              </w:rPr>
              <w:t>食品安全管理体系的更新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F10.3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5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管理手册10.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条款</w:t>
            </w:r>
          </w:p>
        </w:tc>
        <w:tc>
          <w:tcPr>
            <w:tcW w:w="1591" w:type="dxa"/>
            <w:vMerge w:val="restart"/>
          </w:tcPr>
          <w:p>
            <w:r>
              <w:rPr/>
              <w:sym w:font="Wingdings" w:char="00FE"/>
            </w:r>
            <w:r>
              <w:rPr>
                <w:rFonts w:hint="eastAsia"/>
              </w:rPr>
              <w:t>符合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63" w:type="dxa"/>
            <w:gridSpan w:val="2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5" w:type="dxa"/>
          </w:tcPr>
          <w:p>
            <w:pPr>
              <w:rPr>
                <w:u w:val="single"/>
              </w:rPr>
            </w:pPr>
            <w:r>
              <w:t>最高管理者确保FSMS持续更新。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是、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否，说明；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>
            <w:r>
              <w:t>食品安全小组应按计划间隔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每年、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每月、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不定期）</w:t>
            </w:r>
            <w:r>
              <w:t>对食品安全管理体系进行评估。小组应考虑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有必要审查危害分析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已建立的危害控制计划</w:t>
            </w:r>
          </w:p>
          <w:p>
            <w:r>
              <w:rPr>
                <w:rFonts w:hint="eastAsia"/>
              </w:rPr>
              <w:sym w:font="Wingdings" w:char="00FE"/>
            </w:r>
            <w:r>
              <w:t>已建立的PRP。</w:t>
            </w:r>
          </w:p>
          <w:p>
            <w:r>
              <w:t>更新活动应基于：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来自外部和内部通信的输入；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其他有关食品安全管理系统的适宜性、充分性和有效性的信息的输入；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验证活动结果分析的输出；</w:t>
            </w:r>
          </w:p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 </w:t>
            </w:r>
            <w:r>
              <w:t>管理评审的输出。</w:t>
            </w:r>
          </w:p>
          <w:p>
            <w:r>
              <w:t>系统更新活动</w:t>
            </w:r>
            <w:r>
              <w:rPr>
                <w:rFonts w:hint="eastAsia"/>
              </w:rPr>
              <w:t>保留的</w:t>
            </w:r>
            <w:r>
              <w:t>文件化信息</w:t>
            </w:r>
            <w:r>
              <w:rPr>
                <w:rFonts w:hint="eastAsia"/>
              </w:rPr>
              <w:t>为</w:t>
            </w:r>
            <w:r>
              <w:rPr>
                <w:rFonts w:hint="eastAsia"/>
                <w:u w:val="single"/>
              </w:rPr>
              <w:t xml:space="preserve">：  </w:t>
            </w:r>
            <w:r>
              <w:rPr>
                <w:rFonts w:hint="eastAsia"/>
                <w:u w:val="single"/>
                <w:lang w:val="en-US" w:eastAsia="zh-CN"/>
              </w:rPr>
              <w:t>体系建立以来未发生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>，作为输入报告给管理评审。</w:t>
            </w:r>
          </w:p>
          <w:p/>
        </w:tc>
        <w:tc>
          <w:tcPr>
            <w:tcW w:w="1591" w:type="dxa"/>
            <w:vMerge w:val="continue"/>
          </w:tcPr>
          <w:p/>
        </w:tc>
      </w:tr>
    </w:tbl>
    <w:p/>
    <w:p>
      <w:pPr>
        <w:pStyle w:val="2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IDFont+F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4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57FF7"/>
    <w:multiLevelType w:val="singleLevel"/>
    <w:tmpl w:val="D9157FF7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19E194F9"/>
    <w:multiLevelType w:val="singleLevel"/>
    <w:tmpl w:val="19E194F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2">
    <w:nsid w:val="598F2811"/>
    <w:multiLevelType w:val="singleLevel"/>
    <w:tmpl w:val="598F281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42B7DFC"/>
    <w:multiLevelType w:val="singleLevel"/>
    <w:tmpl w:val="642B7DF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377F"/>
    <w:rsid w:val="000237F6"/>
    <w:rsid w:val="0003373A"/>
    <w:rsid w:val="000400E2"/>
    <w:rsid w:val="00053043"/>
    <w:rsid w:val="00062E46"/>
    <w:rsid w:val="00077C57"/>
    <w:rsid w:val="000E6B21"/>
    <w:rsid w:val="000E7D69"/>
    <w:rsid w:val="001037D1"/>
    <w:rsid w:val="00111EBB"/>
    <w:rsid w:val="001140D6"/>
    <w:rsid w:val="00126B2A"/>
    <w:rsid w:val="001301E2"/>
    <w:rsid w:val="001A2D7F"/>
    <w:rsid w:val="001A336D"/>
    <w:rsid w:val="001F1502"/>
    <w:rsid w:val="00203518"/>
    <w:rsid w:val="0023692C"/>
    <w:rsid w:val="002805E0"/>
    <w:rsid w:val="002822F1"/>
    <w:rsid w:val="002939AD"/>
    <w:rsid w:val="002A7D96"/>
    <w:rsid w:val="002E061E"/>
    <w:rsid w:val="002E5925"/>
    <w:rsid w:val="00304BD2"/>
    <w:rsid w:val="00314AF6"/>
    <w:rsid w:val="003263CD"/>
    <w:rsid w:val="00332DD3"/>
    <w:rsid w:val="00334BC0"/>
    <w:rsid w:val="003359ED"/>
    <w:rsid w:val="00337922"/>
    <w:rsid w:val="00340867"/>
    <w:rsid w:val="00380837"/>
    <w:rsid w:val="003A198A"/>
    <w:rsid w:val="00410914"/>
    <w:rsid w:val="0042042C"/>
    <w:rsid w:val="00454842"/>
    <w:rsid w:val="00477A20"/>
    <w:rsid w:val="0048201E"/>
    <w:rsid w:val="0048635A"/>
    <w:rsid w:val="0049215F"/>
    <w:rsid w:val="004B2B8D"/>
    <w:rsid w:val="004D161C"/>
    <w:rsid w:val="004E753A"/>
    <w:rsid w:val="005203B8"/>
    <w:rsid w:val="00531A59"/>
    <w:rsid w:val="00536930"/>
    <w:rsid w:val="00542263"/>
    <w:rsid w:val="00564E53"/>
    <w:rsid w:val="00571451"/>
    <w:rsid w:val="00593F84"/>
    <w:rsid w:val="005B7968"/>
    <w:rsid w:val="005C6B53"/>
    <w:rsid w:val="005D5659"/>
    <w:rsid w:val="005E2DC1"/>
    <w:rsid w:val="005F0777"/>
    <w:rsid w:val="00600C20"/>
    <w:rsid w:val="00644FE2"/>
    <w:rsid w:val="00651ED1"/>
    <w:rsid w:val="00660E47"/>
    <w:rsid w:val="00663F71"/>
    <w:rsid w:val="0067640C"/>
    <w:rsid w:val="00691D92"/>
    <w:rsid w:val="006D7C48"/>
    <w:rsid w:val="006E678B"/>
    <w:rsid w:val="006E7B1D"/>
    <w:rsid w:val="0070341D"/>
    <w:rsid w:val="00705D46"/>
    <w:rsid w:val="00714E0C"/>
    <w:rsid w:val="007757F3"/>
    <w:rsid w:val="00782A29"/>
    <w:rsid w:val="007860F5"/>
    <w:rsid w:val="007C1B48"/>
    <w:rsid w:val="007E3B15"/>
    <w:rsid w:val="007E6AEB"/>
    <w:rsid w:val="008630EE"/>
    <w:rsid w:val="008973EE"/>
    <w:rsid w:val="008C05BC"/>
    <w:rsid w:val="008C60FD"/>
    <w:rsid w:val="008E670C"/>
    <w:rsid w:val="0090032F"/>
    <w:rsid w:val="00910EB7"/>
    <w:rsid w:val="00920906"/>
    <w:rsid w:val="00923731"/>
    <w:rsid w:val="009315A7"/>
    <w:rsid w:val="009344FA"/>
    <w:rsid w:val="009637A6"/>
    <w:rsid w:val="00971600"/>
    <w:rsid w:val="009734AB"/>
    <w:rsid w:val="0097671F"/>
    <w:rsid w:val="009973B4"/>
    <w:rsid w:val="009C28C1"/>
    <w:rsid w:val="009D0D15"/>
    <w:rsid w:val="009E7642"/>
    <w:rsid w:val="009F7EED"/>
    <w:rsid w:val="00A01D85"/>
    <w:rsid w:val="00A109EE"/>
    <w:rsid w:val="00A23E2B"/>
    <w:rsid w:val="00A353D5"/>
    <w:rsid w:val="00A74916"/>
    <w:rsid w:val="00A80636"/>
    <w:rsid w:val="00A80E58"/>
    <w:rsid w:val="00AA4BB0"/>
    <w:rsid w:val="00AB1C1D"/>
    <w:rsid w:val="00AC2E27"/>
    <w:rsid w:val="00AC589C"/>
    <w:rsid w:val="00AF0AAB"/>
    <w:rsid w:val="00B50FD7"/>
    <w:rsid w:val="00B646E3"/>
    <w:rsid w:val="00B64A32"/>
    <w:rsid w:val="00B801A2"/>
    <w:rsid w:val="00B82D4A"/>
    <w:rsid w:val="00B93797"/>
    <w:rsid w:val="00BA5DC8"/>
    <w:rsid w:val="00BB07DF"/>
    <w:rsid w:val="00BB34A7"/>
    <w:rsid w:val="00BE5F33"/>
    <w:rsid w:val="00BF597E"/>
    <w:rsid w:val="00C03A49"/>
    <w:rsid w:val="00C37C31"/>
    <w:rsid w:val="00C51A36"/>
    <w:rsid w:val="00C55228"/>
    <w:rsid w:val="00C5533A"/>
    <w:rsid w:val="00C63768"/>
    <w:rsid w:val="00C65F2B"/>
    <w:rsid w:val="00C96ED9"/>
    <w:rsid w:val="00CD71D8"/>
    <w:rsid w:val="00CE2E76"/>
    <w:rsid w:val="00CE315A"/>
    <w:rsid w:val="00CF1517"/>
    <w:rsid w:val="00D06F59"/>
    <w:rsid w:val="00D708B1"/>
    <w:rsid w:val="00D71355"/>
    <w:rsid w:val="00D75176"/>
    <w:rsid w:val="00D8388C"/>
    <w:rsid w:val="00DC055B"/>
    <w:rsid w:val="00DD3530"/>
    <w:rsid w:val="00DE720A"/>
    <w:rsid w:val="00E120F4"/>
    <w:rsid w:val="00E25E5F"/>
    <w:rsid w:val="00E6224C"/>
    <w:rsid w:val="00E65C8F"/>
    <w:rsid w:val="00EB0164"/>
    <w:rsid w:val="00EB2D1A"/>
    <w:rsid w:val="00EC57BB"/>
    <w:rsid w:val="00EC66B3"/>
    <w:rsid w:val="00ED0F62"/>
    <w:rsid w:val="00F2198C"/>
    <w:rsid w:val="00F43A54"/>
    <w:rsid w:val="00F441AF"/>
    <w:rsid w:val="00F56D22"/>
    <w:rsid w:val="00F7499A"/>
    <w:rsid w:val="00F95ED9"/>
    <w:rsid w:val="00FD0A8E"/>
    <w:rsid w:val="00FF6820"/>
    <w:rsid w:val="01260C71"/>
    <w:rsid w:val="01E27364"/>
    <w:rsid w:val="02C75A20"/>
    <w:rsid w:val="032F5195"/>
    <w:rsid w:val="034F668F"/>
    <w:rsid w:val="03A0688A"/>
    <w:rsid w:val="03A32F8E"/>
    <w:rsid w:val="03AC3D8E"/>
    <w:rsid w:val="03CE483E"/>
    <w:rsid w:val="03CF54E8"/>
    <w:rsid w:val="0405614C"/>
    <w:rsid w:val="046E797D"/>
    <w:rsid w:val="04883DB3"/>
    <w:rsid w:val="049166B1"/>
    <w:rsid w:val="04981EC9"/>
    <w:rsid w:val="050D3D1E"/>
    <w:rsid w:val="056577F0"/>
    <w:rsid w:val="05705C5F"/>
    <w:rsid w:val="057753FF"/>
    <w:rsid w:val="05A05014"/>
    <w:rsid w:val="05F6270F"/>
    <w:rsid w:val="05FE5D86"/>
    <w:rsid w:val="0605101B"/>
    <w:rsid w:val="061B4460"/>
    <w:rsid w:val="06565D7C"/>
    <w:rsid w:val="065A01DF"/>
    <w:rsid w:val="067B702D"/>
    <w:rsid w:val="06994A8D"/>
    <w:rsid w:val="06AA7E97"/>
    <w:rsid w:val="06ED612A"/>
    <w:rsid w:val="08274F37"/>
    <w:rsid w:val="08767210"/>
    <w:rsid w:val="08851DD7"/>
    <w:rsid w:val="08C22483"/>
    <w:rsid w:val="08ED1EE8"/>
    <w:rsid w:val="09005957"/>
    <w:rsid w:val="09261511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CFF24B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EB1156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D4370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D5407F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5C64A64"/>
    <w:rsid w:val="15F7492E"/>
    <w:rsid w:val="16210B83"/>
    <w:rsid w:val="16583F2B"/>
    <w:rsid w:val="169D3E09"/>
    <w:rsid w:val="16AB3CAD"/>
    <w:rsid w:val="16E341B9"/>
    <w:rsid w:val="16F10A78"/>
    <w:rsid w:val="17226BDD"/>
    <w:rsid w:val="17446813"/>
    <w:rsid w:val="175B7C8D"/>
    <w:rsid w:val="177551EA"/>
    <w:rsid w:val="179B1D36"/>
    <w:rsid w:val="17AA51C2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8948AE"/>
    <w:rsid w:val="1AAF33A8"/>
    <w:rsid w:val="1AB42370"/>
    <w:rsid w:val="1ACD09C2"/>
    <w:rsid w:val="1ACF1254"/>
    <w:rsid w:val="1AED5B63"/>
    <w:rsid w:val="1B462375"/>
    <w:rsid w:val="1B5E3B97"/>
    <w:rsid w:val="1BC5069A"/>
    <w:rsid w:val="1C392A3A"/>
    <w:rsid w:val="1C6465C0"/>
    <w:rsid w:val="1CB1322F"/>
    <w:rsid w:val="1D0723A1"/>
    <w:rsid w:val="1D3F332D"/>
    <w:rsid w:val="1D4D4A00"/>
    <w:rsid w:val="1DC4038A"/>
    <w:rsid w:val="1DF36090"/>
    <w:rsid w:val="1DFE25B1"/>
    <w:rsid w:val="1E511FFA"/>
    <w:rsid w:val="1E752FA2"/>
    <w:rsid w:val="1E99368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5B68EA"/>
    <w:rsid w:val="226B2F60"/>
    <w:rsid w:val="22813299"/>
    <w:rsid w:val="23461CA8"/>
    <w:rsid w:val="238A1BAA"/>
    <w:rsid w:val="23900E62"/>
    <w:rsid w:val="23996C88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8041F6"/>
    <w:rsid w:val="258609CC"/>
    <w:rsid w:val="25B02BA9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DF72FA"/>
    <w:rsid w:val="29F77BA5"/>
    <w:rsid w:val="2A3A6E77"/>
    <w:rsid w:val="2A85024C"/>
    <w:rsid w:val="2B0D2F04"/>
    <w:rsid w:val="2B1D2572"/>
    <w:rsid w:val="2B206A2D"/>
    <w:rsid w:val="2B4C1179"/>
    <w:rsid w:val="2BAC5760"/>
    <w:rsid w:val="2BD60481"/>
    <w:rsid w:val="2BEA3FA7"/>
    <w:rsid w:val="2C2E44D4"/>
    <w:rsid w:val="2C3E7250"/>
    <w:rsid w:val="2C7B6C71"/>
    <w:rsid w:val="2D357F0D"/>
    <w:rsid w:val="2D4E604F"/>
    <w:rsid w:val="2D5C2AB0"/>
    <w:rsid w:val="2D7A20E6"/>
    <w:rsid w:val="2DC57805"/>
    <w:rsid w:val="2DC801AD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09556D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25251B2"/>
    <w:rsid w:val="328817F8"/>
    <w:rsid w:val="32A772DD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977CFC"/>
    <w:rsid w:val="35D721CD"/>
    <w:rsid w:val="36174333"/>
    <w:rsid w:val="364A3F09"/>
    <w:rsid w:val="366E2A0B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E04D90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DF2719F"/>
    <w:rsid w:val="3E342793"/>
    <w:rsid w:val="3E3C5235"/>
    <w:rsid w:val="3EA34B57"/>
    <w:rsid w:val="3EEF1E6E"/>
    <w:rsid w:val="3F654598"/>
    <w:rsid w:val="3F701801"/>
    <w:rsid w:val="40075616"/>
    <w:rsid w:val="40571F31"/>
    <w:rsid w:val="40760623"/>
    <w:rsid w:val="40771A54"/>
    <w:rsid w:val="408B7234"/>
    <w:rsid w:val="40E27AF7"/>
    <w:rsid w:val="40F80D82"/>
    <w:rsid w:val="41342A6B"/>
    <w:rsid w:val="414C7183"/>
    <w:rsid w:val="418D501C"/>
    <w:rsid w:val="41E9167B"/>
    <w:rsid w:val="42271497"/>
    <w:rsid w:val="42416B50"/>
    <w:rsid w:val="4262379E"/>
    <w:rsid w:val="427A1188"/>
    <w:rsid w:val="432A5E11"/>
    <w:rsid w:val="433B1167"/>
    <w:rsid w:val="435F500F"/>
    <w:rsid w:val="43C730CD"/>
    <w:rsid w:val="44A567F5"/>
    <w:rsid w:val="453B1EBC"/>
    <w:rsid w:val="45413E1D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1F1498"/>
    <w:rsid w:val="47271944"/>
    <w:rsid w:val="475C4BFE"/>
    <w:rsid w:val="47BB044C"/>
    <w:rsid w:val="48262DE5"/>
    <w:rsid w:val="48397913"/>
    <w:rsid w:val="4949229C"/>
    <w:rsid w:val="49834851"/>
    <w:rsid w:val="49C0281D"/>
    <w:rsid w:val="49DF5615"/>
    <w:rsid w:val="49E449BF"/>
    <w:rsid w:val="49EC77B8"/>
    <w:rsid w:val="49ED5B1C"/>
    <w:rsid w:val="4AD45EF1"/>
    <w:rsid w:val="4ADD13CB"/>
    <w:rsid w:val="4AE04A18"/>
    <w:rsid w:val="4B337454"/>
    <w:rsid w:val="4B407CC6"/>
    <w:rsid w:val="4B42232B"/>
    <w:rsid w:val="4B464DA1"/>
    <w:rsid w:val="4B825A76"/>
    <w:rsid w:val="4B8B3702"/>
    <w:rsid w:val="4B9B0D7E"/>
    <w:rsid w:val="4BC83B65"/>
    <w:rsid w:val="4C1A1162"/>
    <w:rsid w:val="4C85389F"/>
    <w:rsid w:val="4CA74E41"/>
    <w:rsid w:val="4CA91B51"/>
    <w:rsid w:val="4CB62537"/>
    <w:rsid w:val="4CD2365B"/>
    <w:rsid w:val="4D352804"/>
    <w:rsid w:val="4D3D578E"/>
    <w:rsid w:val="4D636299"/>
    <w:rsid w:val="4D791805"/>
    <w:rsid w:val="4D8F2F88"/>
    <w:rsid w:val="4DB86BCB"/>
    <w:rsid w:val="4DD85058"/>
    <w:rsid w:val="4E0166A9"/>
    <w:rsid w:val="4E1551DB"/>
    <w:rsid w:val="4E7774D0"/>
    <w:rsid w:val="4F256EAD"/>
    <w:rsid w:val="4F594843"/>
    <w:rsid w:val="50172AB6"/>
    <w:rsid w:val="50286CDF"/>
    <w:rsid w:val="503C3BCC"/>
    <w:rsid w:val="505C4971"/>
    <w:rsid w:val="50C41CF1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DF3F44"/>
    <w:rsid w:val="52F263D6"/>
    <w:rsid w:val="53024EB7"/>
    <w:rsid w:val="53261795"/>
    <w:rsid w:val="53953BE7"/>
    <w:rsid w:val="53E93AEB"/>
    <w:rsid w:val="53F51637"/>
    <w:rsid w:val="54124FEF"/>
    <w:rsid w:val="541C4B67"/>
    <w:rsid w:val="552A2893"/>
    <w:rsid w:val="556B045B"/>
    <w:rsid w:val="557D4E77"/>
    <w:rsid w:val="55C375DD"/>
    <w:rsid w:val="56156439"/>
    <w:rsid w:val="56283162"/>
    <w:rsid w:val="56643532"/>
    <w:rsid w:val="568B5A7B"/>
    <w:rsid w:val="56EF4D06"/>
    <w:rsid w:val="570A6E63"/>
    <w:rsid w:val="573B0118"/>
    <w:rsid w:val="573D2268"/>
    <w:rsid w:val="57411925"/>
    <w:rsid w:val="57441E32"/>
    <w:rsid w:val="57535542"/>
    <w:rsid w:val="575B3098"/>
    <w:rsid w:val="577F2D1A"/>
    <w:rsid w:val="57F55B90"/>
    <w:rsid w:val="580F191D"/>
    <w:rsid w:val="58276F84"/>
    <w:rsid w:val="58584813"/>
    <w:rsid w:val="58884147"/>
    <w:rsid w:val="58B728A2"/>
    <w:rsid w:val="58B868EB"/>
    <w:rsid w:val="590D059A"/>
    <w:rsid w:val="592802C2"/>
    <w:rsid w:val="5978735A"/>
    <w:rsid w:val="59A13904"/>
    <w:rsid w:val="59D37462"/>
    <w:rsid w:val="59E42114"/>
    <w:rsid w:val="59E710C8"/>
    <w:rsid w:val="59F34F80"/>
    <w:rsid w:val="5A1C59A1"/>
    <w:rsid w:val="5A386EB4"/>
    <w:rsid w:val="5A407674"/>
    <w:rsid w:val="5A432974"/>
    <w:rsid w:val="5A6A20C5"/>
    <w:rsid w:val="5AD64AF2"/>
    <w:rsid w:val="5AF23288"/>
    <w:rsid w:val="5B544EB3"/>
    <w:rsid w:val="5B6A33DD"/>
    <w:rsid w:val="5BBF36FA"/>
    <w:rsid w:val="5BF04FFA"/>
    <w:rsid w:val="5C045A62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0754B6"/>
    <w:rsid w:val="6018182B"/>
    <w:rsid w:val="601E0F43"/>
    <w:rsid w:val="60596F8D"/>
    <w:rsid w:val="608075E1"/>
    <w:rsid w:val="61326FB1"/>
    <w:rsid w:val="61384C31"/>
    <w:rsid w:val="61E77A7E"/>
    <w:rsid w:val="61F16F63"/>
    <w:rsid w:val="622A4138"/>
    <w:rsid w:val="62385483"/>
    <w:rsid w:val="62385A6C"/>
    <w:rsid w:val="626F54FE"/>
    <w:rsid w:val="62876D77"/>
    <w:rsid w:val="62CA4AF4"/>
    <w:rsid w:val="62E4371E"/>
    <w:rsid w:val="632045D1"/>
    <w:rsid w:val="6342544F"/>
    <w:rsid w:val="63720424"/>
    <w:rsid w:val="63A31ABC"/>
    <w:rsid w:val="63C65078"/>
    <w:rsid w:val="63EA156F"/>
    <w:rsid w:val="63EA6D88"/>
    <w:rsid w:val="64621F9C"/>
    <w:rsid w:val="64A537DD"/>
    <w:rsid w:val="64B45425"/>
    <w:rsid w:val="64B96E85"/>
    <w:rsid w:val="64BB6795"/>
    <w:rsid w:val="64D069A0"/>
    <w:rsid w:val="64F27E75"/>
    <w:rsid w:val="65067C78"/>
    <w:rsid w:val="65155A1F"/>
    <w:rsid w:val="653C2C5E"/>
    <w:rsid w:val="65662197"/>
    <w:rsid w:val="656B5D01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80564C6"/>
    <w:rsid w:val="681B3F7A"/>
    <w:rsid w:val="68233428"/>
    <w:rsid w:val="6827495B"/>
    <w:rsid w:val="6844529D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910AA0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792112"/>
    <w:rsid w:val="6D9B1357"/>
    <w:rsid w:val="6E641038"/>
    <w:rsid w:val="6EBD0EA6"/>
    <w:rsid w:val="6F435405"/>
    <w:rsid w:val="6F4810D8"/>
    <w:rsid w:val="6F6D2BAA"/>
    <w:rsid w:val="6F8F1120"/>
    <w:rsid w:val="6F9A4A47"/>
    <w:rsid w:val="6FD909A9"/>
    <w:rsid w:val="701710D0"/>
    <w:rsid w:val="70607590"/>
    <w:rsid w:val="70795456"/>
    <w:rsid w:val="709946EC"/>
    <w:rsid w:val="72702455"/>
    <w:rsid w:val="728F2E47"/>
    <w:rsid w:val="72973011"/>
    <w:rsid w:val="72E42D1B"/>
    <w:rsid w:val="731254DC"/>
    <w:rsid w:val="73381E5F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5EC38CD"/>
    <w:rsid w:val="76174057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2E63AB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38460C"/>
    <w:rsid w:val="79826449"/>
    <w:rsid w:val="79D339B9"/>
    <w:rsid w:val="7A200C95"/>
    <w:rsid w:val="7A594332"/>
    <w:rsid w:val="7A8564DB"/>
    <w:rsid w:val="7AB3096A"/>
    <w:rsid w:val="7AC22B97"/>
    <w:rsid w:val="7ACB083F"/>
    <w:rsid w:val="7B1F77A4"/>
    <w:rsid w:val="7B292799"/>
    <w:rsid w:val="7B593EC6"/>
    <w:rsid w:val="7BEE23EC"/>
    <w:rsid w:val="7C090682"/>
    <w:rsid w:val="7C4E6027"/>
    <w:rsid w:val="7C6A6CA8"/>
    <w:rsid w:val="7CC41AB2"/>
    <w:rsid w:val="7CF04E00"/>
    <w:rsid w:val="7D0B04E5"/>
    <w:rsid w:val="7D41026F"/>
    <w:rsid w:val="7D59343F"/>
    <w:rsid w:val="7E0A78B3"/>
    <w:rsid w:val="7E2912F3"/>
    <w:rsid w:val="7F9026D0"/>
    <w:rsid w:val="7F984417"/>
    <w:rsid w:val="7FD91DE8"/>
    <w:rsid w:val="7FDB73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1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9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1372</Words>
  <Characters>7824</Characters>
  <Lines>65</Lines>
  <Paragraphs>18</Paragraphs>
  <TotalTime>5</TotalTime>
  <ScaleCrop>false</ScaleCrop>
  <LinksUpToDate>false</LinksUpToDate>
  <CharactersWithSpaces>9178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2021-12-05T05:26:24Z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A85AE80604FE448E93899CD7C548765F</vt:lpwstr>
  </property>
</Properties>
</file>