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1255-2021-O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江西港滋源餐饮管理有限公司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91360125MA360L5FX8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30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2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江西港滋源餐饮管理有限公司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0"/>
              </w:rPr>
              <w:t>餐饮服务</w:t>
            </w:r>
            <w:r>
              <w:rPr>
                <w:rFonts w:hint="eastAsia"/>
                <w:sz w:val="20"/>
              </w:rPr>
              <w:t>（限食品经营许可证范围内）</w:t>
            </w:r>
            <w:r>
              <w:rPr>
                <w:sz w:val="20"/>
              </w:rPr>
              <w:t>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asciiTheme="minorEastAsia" w:hAnsiTheme="minorEastAsia" w:eastAsiaTheme="minorEastAsia"/>
                <w:sz w:val="20"/>
              </w:rPr>
              <w:t>江西省南昌市青山湖区高新技术产业园沈桥路899号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鄱</w:t>
            </w:r>
            <w:r>
              <w:rPr>
                <w:rFonts w:asciiTheme="minorEastAsia" w:hAnsiTheme="minorEastAsia" w:eastAsiaTheme="minorEastAsia"/>
                <w:sz w:val="20"/>
              </w:rPr>
              <w:t>湖工业园物管大楼1楼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生产地址"/>
            <w:r>
              <w:rPr>
                <w:rFonts w:asciiTheme="minorEastAsia" w:hAnsiTheme="minorEastAsia" w:eastAsiaTheme="minorEastAsia"/>
                <w:sz w:val="20"/>
              </w:rPr>
              <w:t>江西省南昌市青山湖区昌东工业园沈桥路899号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Jiangxi gangziyuan Catering Management Co., Ltd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1st floor, property management building, Pohu Industrial Park, No. 899, Shenqiao Road, high tech Industrial Park, Qingshanhu District, Nanchang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occupational health and safety management activities of places involved in catering services (within the scope of food business license)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899, Shenqiao Road, Changdong Industrial Park, Qingshanhu District, Nanchang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805180" cy="485140"/>
                  <wp:effectExtent l="0" t="0" r="13970" b="10795"/>
                  <wp:wrapNone/>
                  <wp:docPr id="1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oto-fany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2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21"/>
        <w:rFonts w:hint="default"/>
      </w:rPr>
      <w:t>北京国标联合认证有限公司</w:t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2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5557F9E"/>
    <w:rsid w:val="0E462B7A"/>
    <w:rsid w:val="0E761B4C"/>
    <w:rsid w:val="17155F76"/>
    <w:rsid w:val="2F245C15"/>
    <w:rsid w:val="5E463B25"/>
    <w:rsid w:val="5F2712A3"/>
    <w:rsid w:val="7EC50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666666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uiPriority w:val="99"/>
  </w:style>
  <w:style w:type="character" w:styleId="13">
    <w:name w:val="HTML Acronym"/>
    <w:basedOn w:val="8"/>
    <w:semiHidden/>
    <w:unhideWhenUsed/>
    <w:uiPriority w:val="99"/>
    <w:rPr>
      <w:bdr w:val="none" w:color="auto" w:sz="0" w:space="0"/>
    </w:rPr>
  </w:style>
  <w:style w:type="character" w:styleId="14">
    <w:name w:val="HTML Variable"/>
    <w:basedOn w:val="8"/>
    <w:semiHidden/>
    <w:unhideWhenUsed/>
    <w:uiPriority w:val="99"/>
  </w:style>
  <w:style w:type="character" w:styleId="15">
    <w:name w:val="Hyperlink"/>
    <w:basedOn w:val="8"/>
    <w:semiHidden/>
    <w:unhideWhenUsed/>
    <w:uiPriority w:val="99"/>
    <w:rPr>
      <w:color w:val="666666"/>
      <w:u w:val="none"/>
    </w:rPr>
  </w:style>
  <w:style w:type="character" w:styleId="16">
    <w:name w:val="HTML Code"/>
    <w:basedOn w:val="8"/>
    <w:semiHidden/>
    <w:unhideWhenUsed/>
    <w:uiPriority w:val="99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semiHidden/>
    <w:unhideWhenUsed/>
    <w:uiPriority w:val="99"/>
  </w:style>
  <w:style w:type="character" w:customStyle="1" w:styleId="18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9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2">
    <w:name w:val="apple-converted-space"/>
    <w:basedOn w:val="8"/>
    <w:qFormat/>
    <w:uiPriority w:val="0"/>
  </w:style>
  <w:style w:type="paragraph" w:customStyle="1" w:styleId="2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2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2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2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27">
    <w:name w:val="Header 14pt Bold Centered"/>
    <w:basedOn w:val="1"/>
    <w:qFormat/>
    <w:uiPriority w:val="0"/>
    <w:pPr>
      <w:jc w:val="center"/>
    </w:pPr>
    <w:rPr>
      <w:b/>
      <w:sz w:val="28"/>
    </w:rPr>
  </w:style>
  <w:style w:type="character" w:customStyle="1" w:styleId="28">
    <w:name w:val="focus"/>
    <w:basedOn w:val="8"/>
    <w:uiPriority w:val="0"/>
  </w:style>
  <w:style w:type="character" w:customStyle="1" w:styleId="29">
    <w:name w:val="ordinary-span-edit1"/>
    <w:basedOn w:val="8"/>
    <w:uiPriority w:val="0"/>
    <w:rPr>
      <w:bdr w:val="single" w:color="4D90FE" w:sz="6" w:space="0"/>
      <w:shd w:val="clear" w:fill="FFFFFF"/>
    </w:rPr>
  </w:style>
  <w:style w:type="character" w:customStyle="1" w:styleId="30">
    <w:name w:val="high-light-bg5"/>
    <w:basedOn w:val="8"/>
    <w:uiPriority w:val="0"/>
    <w:rPr>
      <w:shd w:val="clear" w:fill="FEE9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5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2021-12-01T08:40:26Z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