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管理层、安全事务代表    </w:t>
            </w:r>
            <w:r>
              <w:rPr>
                <w:rFonts w:hint="eastAsia"/>
                <w:sz w:val="24"/>
                <w:szCs w:val="24"/>
              </w:rPr>
              <w:t>主管领导：</w:t>
            </w:r>
            <w:bookmarkStart w:id="0" w:name="管理者代表"/>
            <w:r>
              <w:rPr>
                <w:rFonts w:hint="eastAsia"/>
                <w:sz w:val="24"/>
                <w:szCs w:val="24"/>
              </w:rPr>
              <w:t>钟华建</w:t>
            </w:r>
            <w:bookmarkEnd w:id="0"/>
            <w:r>
              <w:rPr>
                <w:rFonts w:hint="eastAsia"/>
                <w:sz w:val="24"/>
                <w:szCs w:val="24"/>
                <w:lang w:eastAsia="zh-CN"/>
              </w:rPr>
              <w:t>、</w:t>
            </w:r>
            <w:r>
              <w:rPr>
                <w:rFonts w:hint="eastAsia"/>
                <w:sz w:val="24"/>
                <w:szCs w:val="24"/>
              </w:rPr>
              <w:t>李海英</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刘秋秋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 xml:space="preserve">褚敏杰                      </w:t>
            </w:r>
            <w:r>
              <w:rPr>
                <w:rFonts w:hint="eastAsia" w:ascii="Times New Roman" w:hAnsi="Times New Roman" w:eastAsia="宋体" w:cs="Times New Roman"/>
                <w:sz w:val="24"/>
                <w:szCs w:val="24"/>
                <w:lang w:val="en-US" w:eastAsia="zh-CN"/>
              </w:rPr>
              <w:t>审核时间：</w:t>
            </w:r>
            <w:bookmarkStart w:id="2" w:name="审核日期"/>
            <w:r>
              <w:rPr>
                <w:rFonts w:hint="eastAsia" w:ascii="Times New Roman" w:hAnsi="Times New Roman" w:eastAsia="宋体" w:cs="Times New Roman"/>
                <w:sz w:val="24"/>
                <w:szCs w:val="24"/>
                <w:lang w:val="en-US" w:eastAsia="zh-CN"/>
              </w:rPr>
              <w:t>2021年12月01日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职业健康安全目标及其实现的策划、7.1资源总则、7.4信息交流、9.3管理评审、10.1改进、10.3持续改进</w:t>
            </w:r>
          </w:p>
          <w:p>
            <w:pPr>
              <w:rPr>
                <w:rFonts w:hint="eastAsia"/>
                <w:sz w:val="24"/>
                <w:szCs w:val="24"/>
              </w:rPr>
            </w:pPr>
            <w:r>
              <w:rPr>
                <w:rFonts w:hint="eastAsia" w:ascii="宋体" w:hAnsi="宋体" w:eastAsia="宋体" w:cs="Arial"/>
                <w:color w:val="auto"/>
                <w:spacing w:val="-6"/>
                <w:sz w:val="21"/>
                <w:szCs w:val="21"/>
                <w:lang w:val="en-US" w:eastAsia="zh-CN"/>
              </w:rPr>
              <w:t>国家/地方监督抽查情况；顾客满意、相关方投诉及处理情况；</w:t>
            </w:r>
            <w:r>
              <w:rPr>
                <w:rFonts w:hint="eastAsia" w:ascii="宋体" w:hAnsi="宋体" w:cs="Arial"/>
                <w:color w:val="auto"/>
                <w:spacing w:val="-6"/>
                <w:sz w:val="21"/>
                <w:szCs w:val="21"/>
                <w:lang w:val="en-US" w:eastAsia="zh-CN"/>
              </w:rPr>
              <w:t>上次审核不符合</w:t>
            </w:r>
            <w:r>
              <w:rPr>
                <w:rFonts w:hint="eastAsia" w:ascii="宋体" w:hAnsi="宋体" w:eastAsia="宋体" w:cs="Arial"/>
                <w:color w:val="auto"/>
                <w:spacing w:val="-6"/>
                <w:sz w:val="21"/>
                <w:szCs w:val="21"/>
                <w:lang w:val="en-US" w:eastAsia="zh-CN"/>
              </w:rPr>
              <w:t>验证，验证企业相关资质证明的有效性</w:t>
            </w:r>
            <w:r>
              <w:rPr>
                <w:rFonts w:hint="eastAsia" w:ascii="宋体" w:hAnsi="宋体" w:cs="Arial"/>
                <w:color w:val="auto"/>
                <w:spacing w:val="-6"/>
                <w:sz w:val="21"/>
                <w:szCs w:val="21"/>
                <w:lang w:val="en-US" w:eastAsia="zh-CN"/>
              </w:rPr>
              <w:t>，证书、标志的使用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理解组织及其环境</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w:t>
            </w:r>
            <w:r>
              <w:rPr>
                <w:rFonts w:hint="eastAsia" w:ascii="宋体" w:hAnsi="宋体" w:cs="Arial"/>
                <w:spacing w:val="-6"/>
                <w:sz w:val="21"/>
                <w:szCs w:val="21"/>
              </w:rPr>
              <w:t>:4.1</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江西港滋源餐饮管理有限公司成立于2017年，公司注册资金</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lang w:val="zh-CN"/>
              </w:rPr>
              <w:t>00万元；</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en-US" w:eastAsia="zh-CN"/>
              </w:rPr>
              <w:t>注册</w:t>
            </w:r>
            <w:r>
              <w:rPr>
                <w:rFonts w:hint="eastAsia" w:ascii="Times New Roman" w:hAnsi="Times New Roman" w:eastAsia="宋体" w:cs="Times New Roman"/>
                <w:szCs w:val="22"/>
                <w:highlight w:val="none"/>
                <w:lang w:val="zh-CN"/>
              </w:rPr>
              <w:t>地址：</w:t>
            </w:r>
            <w:bookmarkStart w:id="3" w:name="注册地址"/>
            <w:r>
              <w:rPr>
                <w:rFonts w:asciiTheme="minorEastAsia" w:hAnsiTheme="minorEastAsia" w:eastAsiaTheme="minorEastAsia"/>
                <w:sz w:val="20"/>
              </w:rPr>
              <w:t>江西省南昌市青山湖区高新技术产业园沈桥路899号潘湖工业园物管大楼1楼</w:t>
            </w:r>
            <w:bookmarkEnd w:id="3"/>
            <w:r>
              <w:rPr>
                <w:rFonts w:hint="eastAsia" w:ascii="Times New Roman" w:hAnsi="Times New Roman" w:eastAsia="宋体" w:cs="Times New Roman"/>
                <w:szCs w:val="22"/>
                <w:highlight w:val="none"/>
                <w:lang w:val="zh-CN"/>
              </w:rPr>
              <w:t>；</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en-US" w:eastAsia="zh-CN"/>
              </w:rPr>
              <w:t>经营</w:t>
            </w:r>
            <w:r>
              <w:rPr>
                <w:rFonts w:hint="eastAsia" w:ascii="Times New Roman" w:hAnsi="Times New Roman" w:eastAsia="宋体" w:cs="Times New Roman"/>
                <w:szCs w:val="22"/>
                <w:highlight w:val="none"/>
                <w:lang w:val="zh-CN"/>
              </w:rPr>
              <w:t>地址：</w:t>
            </w:r>
            <w:bookmarkStart w:id="4" w:name="生产地址"/>
            <w:r>
              <w:rPr>
                <w:rFonts w:asciiTheme="minorEastAsia" w:hAnsiTheme="minorEastAsia" w:eastAsiaTheme="minorEastAsia"/>
                <w:sz w:val="20"/>
              </w:rPr>
              <w:t>江西省南昌市青山湖区昌东工业园沈桥路899号</w:t>
            </w:r>
            <w:bookmarkEnd w:id="4"/>
            <w:r>
              <w:rPr>
                <w:rFonts w:hint="eastAsia" w:ascii="Times New Roman" w:hAnsi="Times New Roman" w:eastAsia="宋体" w:cs="Times New Roman"/>
                <w:szCs w:val="22"/>
                <w:highlight w:val="none"/>
                <w:lang w:val="zh-CN"/>
              </w:rPr>
              <w:t>；</w:t>
            </w:r>
            <w:r>
              <w:rPr>
                <w:rFonts w:hint="eastAsia" w:ascii="Times New Roman" w:hAnsi="Times New Roman" w:eastAsia="宋体" w:cs="Times New Roman"/>
                <w:szCs w:val="22"/>
                <w:highlight w:val="none"/>
                <w:lang w:val="en-US" w:eastAsia="zh-CN"/>
              </w:rPr>
              <w:t>占地面积约400平方米。</w:t>
            </w:r>
          </w:p>
          <w:p>
            <w:pPr>
              <w:spacing w:line="360" w:lineRule="auto"/>
              <w:ind w:firstLine="420" w:firstLineChars="200"/>
              <w:rPr>
                <w:rFonts w:hint="eastAsia" w:cs="Times New Roman"/>
                <w:szCs w:val="22"/>
                <w:highlight w:val="none"/>
                <w:lang w:val="en-US" w:eastAsia="zh-CN"/>
              </w:rPr>
            </w:pPr>
            <w:r>
              <w:rPr>
                <w:rFonts w:hint="eastAsia" w:ascii="Times New Roman" w:hAnsi="Times New Roman" w:eastAsia="宋体" w:cs="Times New Roman"/>
                <w:szCs w:val="22"/>
                <w:highlight w:val="none"/>
                <w:lang w:val="zh-CN"/>
              </w:rPr>
              <w:t>主要</w:t>
            </w:r>
            <w:r>
              <w:rPr>
                <w:rFonts w:hint="eastAsia" w:ascii="Times New Roman" w:hAnsi="Times New Roman" w:eastAsia="宋体" w:cs="Times New Roman"/>
                <w:szCs w:val="22"/>
                <w:highlight w:val="none"/>
                <w:lang w:val="en-US" w:eastAsia="zh-CN"/>
              </w:rPr>
              <w:t>提供</w:t>
            </w:r>
            <w:r>
              <w:rPr>
                <w:rFonts w:hint="eastAsia" w:ascii="Times New Roman" w:hAnsi="Times New Roman" w:eastAsia="宋体" w:cs="Times New Roman"/>
                <w:szCs w:val="22"/>
                <w:highlight w:val="none"/>
                <w:lang w:val="zh-CN"/>
              </w:rPr>
              <w:t>集食堂委托管理、自助餐厅、水吧便利超市、物流配送、餐饮管理、食品营养咨询服务；</w:t>
            </w:r>
            <w:r>
              <w:rPr>
                <w:rFonts w:hint="eastAsia" w:ascii="Times New Roman" w:hAnsi="Times New Roman" w:eastAsia="宋体" w:cs="Times New Roman"/>
                <w:szCs w:val="22"/>
                <w:highlight w:val="none"/>
                <w:lang w:val="en-US" w:eastAsia="zh-CN"/>
              </w:rPr>
              <w:t>保持营业执照和食品经营许可证</w:t>
            </w:r>
            <w:r>
              <w:rPr>
                <w:rFonts w:hint="eastAsia"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cs="Times New Roman"/>
                <w:szCs w:val="22"/>
                <w:highlight w:val="none"/>
                <w:lang w:val="en-US" w:eastAsia="zh-CN"/>
              </w:rPr>
              <w:t>原申请</w:t>
            </w:r>
            <w:r>
              <w:rPr>
                <w:rFonts w:hint="eastAsia" w:ascii="Times New Roman" w:hAnsi="Times New Roman" w:eastAsia="宋体" w:cs="Times New Roman"/>
                <w:szCs w:val="22"/>
                <w:highlight w:val="none"/>
                <w:lang w:val="en-US" w:eastAsia="zh-CN"/>
              </w:rPr>
              <w:t>认证范围：</w:t>
            </w:r>
          </w:p>
          <w:p>
            <w:pPr>
              <w:spacing w:line="360" w:lineRule="auto"/>
              <w:ind w:firstLine="400" w:firstLineChars="200"/>
              <w:rPr>
                <w:rFonts w:hint="eastAsia" w:ascii="Times New Roman" w:hAnsi="Times New Roman" w:eastAsia="宋体" w:cs="Times New Roman"/>
                <w:szCs w:val="22"/>
                <w:highlight w:val="none"/>
                <w:lang w:val="en-US" w:eastAsia="zh-CN"/>
              </w:rPr>
            </w:pPr>
            <w:bookmarkStart w:id="5" w:name="审核范围"/>
            <w:r>
              <w:rPr>
                <w:sz w:val="20"/>
              </w:rPr>
              <w:t>餐饮服务所涉及场所的相关职业健康安全管理活动</w:t>
            </w:r>
            <w:bookmarkEnd w:id="5"/>
            <w:r>
              <w:rPr>
                <w:rFonts w:hint="eastAsia" w:ascii="Times New Roman" w:hAnsi="Times New Roman" w:eastAsia="宋体" w:cs="Times New Roman"/>
                <w:szCs w:val="22"/>
                <w:highlight w:val="none"/>
                <w:lang w:val="en-US" w:eastAsia="zh-CN"/>
              </w:rPr>
              <w:t>.</w:t>
            </w:r>
          </w:p>
          <w:p>
            <w:pPr>
              <w:pStyle w:val="2"/>
              <w:ind w:firstLine="420" w:firstLineChars="200"/>
              <w:rPr>
                <w:rFonts w:hint="eastAsia" w:cs="Times New Roman"/>
                <w:szCs w:val="22"/>
                <w:highlight w:val="none"/>
                <w:lang w:val="en-US" w:eastAsia="zh-CN"/>
              </w:rPr>
            </w:pPr>
            <w:r>
              <w:rPr>
                <w:rFonts w:hint="eastAsia" w:cs="Times New Roman"/>
                <w:szCs w:val="22"/>
                <w:highlight w:val="none"/>
                <w:lang w:val="en-US" w:eastAsia="zh-CN"/>
              </w:rPr>
              <w:t>经一阶段现场审核发现，并于企业进行沟通，申请范围变更为：</w:t>
            </w:r>
          </w:p>
          <w:p>
            <w:pPr>
              <w:spacing w:line="360" w:lineRule="auto"/>
              <w:ind w:firstLine="400" w:firstLineChars="200"/>
              <w:rPr>
                <w:rFonts w:hint="eastAsia"/>
                <w:sz w:val="20"/>
                <w:lang w:eastAsia="zh-CN"/>
              </w:rPr>
            </w:pPr>
            <w:r>
              <w:rPr>
                <w:sz w:val="20"/>
              </w:rPr>
              <w:t>餐饮服务</w:t>
            </w:r>
            <w:r>
              <w:rPr>
                <w:rFonts w:hint="eastAsia"/>
                <w:sz w:val="20"/>
              </w:rPr>
              <w:t>（限食品经营许可证范围内）</w:t>
            </w:r>
            <w:r>
              <w:rPr>
                <w:sz w:val="20"/>
              </w:rPr>
              <w:t>所涉及场所的相关职业健康安全管理活动</w:t>
            </w:r>
            <w:r>
              <w:rPr>
                <w:rFonts w:hint="eastAsia"/>
                <w:sz w:val="20"/>
                <w:lang w:eastAsia="zh-CN"/>
              </w:rPr>
              <w:t>。</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公司现有员工</w:t>
            </w:r>
            <w:r>
              <w:rPr>
                <w:rFonts w:hint="eastAsia" w:ascii="Times New Roman" w:hAnsi="Times New Roman" w:eastAsia="宋体" w:cs="Times New Roman"/>
                <w:szCs w:val="22"/>
                <w:highlight w:val="none"/>
                <w:lang w:val="en-US" w:eastAsia="zh-CN"/>
              </w:rPr>
              <w:t>30</w:t>
            </w:r>
            <w:r>
              <w:rPr>
                <w:rFonts w:hint="eastAsia" w:ascii="Times New Roman" w:hAnsi="Times New Roman" w:eastAsia="宋体" w:cs="Times New Roman"/>
                <w:szCs w:val="22"/>
                <w:highlight w:val="none"/>
                <w:lang w:val="zh-CN"/>
              </w:rPr>
              <w:t>人，</w:t>
            </w:r>
            <w:r>
              <w:rPr>
                <w:rFonts w:hint="eastAsia" w:ascii="Times New Roman" w:hAnsi="Times New Roman" w:eastAsia="宋体" w:cs="Times New Roman"/>
                <w:szCs w:val="22"/>
                <w:highlight w:val="none"/>
                <w:lang w:val="en-US" w:eastAsia="zh-CN"/>
              </w:rPr>
              <w:t>厨务人员持证上岗</w:t>
            </w:r>
            <w:r>
              <w:rPr>
                <w:rFonts w:hint="eastAsia" w:ascii="Times New Roman" w:hAnsi="Times New Roman" w:eastAsia="宋体" w:cs="Times New Roman"/>
                <w:szCs w:val="22"/>
                <w:highlight w:val="none"/>
                <w:lang w:val="zh-CN"/>
              </w:rPr>
              <w:t>；</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主要设备：电磁单头大锅炉、厨房油烟净化一体机、切菜机、四门冷柜、消毒柜等；</w:t>
            </w:r>
          </w:p>
          <w:p>
            <w:pPr>
              <w:spacing w:line="360" w:lineRule="auto"/>
              <w:ind w:firstLine="420" w:firstLineChars="200"/>
              <w:rPr>
                <w:rFonts w:hint="eastAsia" w:ascii="Times New Roman" w:hAnsi="Times New Roman" w:eastAsia="宋体" w:cs="Times New Roman"/>
                <w:b w:val="0"/>
                <w:kern w:val="2"/>
                <w:sz w:val="21"/>
                <w:szCs w:val="22"/>
                <w:highlight w:val="none"/>
                <w:lang w:val="zh-CN" w:eastAsia="zh-CN" w:bidi="ar-SA"/>
              </w:rPr>
            </w:pPr>
            <w:r>
              <w:rPr>
                <w:rFonts w:hint="eastAsia" w:ascii="Times New Roman" w:hAnsi="Times New Roman" w:eastAsia="宋体" w:cs="Times New Roman"/>
                <w:b w:val="0"/>
                <w:kern w:val="2"/>
                <w:sz w:val="21"/>
                <w:szCs w:val="22"/>
                <w:highlight w:val="none"/>
                <w:lang w:val="en-US" w:eastAsia="zh-CN" w:bidi="ar-SA"/>
              </w:rPr>
              <w:t>安全</w:t>
            </w:r>
            <w:r>
              <w:rPr>
                <w:rFonts w:hint="eastAsia" w:ascii="Times New Roman" w:hAnsi="Times New Roman" w:eastAsia="宋体" w:cs="Times New Roman"/>
                <w:b w:val="0"/>
                <w:kern w:val="2"/>
                <w:sz w:val="21"/>
                <w:szCs w:val="22"/>
                <w:highlight w:val="none"/>
                <w:lang w:val="zh-CN" w:eastAsia="zh-CN" w:bidi="ar-SA"/>
              </w:rPr>
              <w:t>设备：垃圾桶、灭火器</w:t>
            </w:r>
            <w:r>
              <w:rPr>
                <w:rFonts w:hint="eastAsia"/>
                <w:color w:val="auto"/>
                <w:szCs w:val="22"/>
                <w:highlight w:val="none"/>
                <w:lang w:val="zh-CN"/>
              </w:rPr>
              <w:t>等；</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公司设置有行政部、业务部、</w:t>
            </w:r>
            <w:r>
              <w:rPr>
                <w:rFonts w:hint="eastAsia" w:ascii="Times New Roman" w:hAnsi="Times New Roman" w:eastAsia="宋体" w:cs="Times New Roman"/>
                <w:szCs w:val="22"/>
                <w:highlight w:val="none"/>
                <w:lang w:val="en-US" w:eastAsia="zh-CN"/>
              </w:rPr>
              <w:t>厨务</w:t>
            </w:r>
            <w:r>
              <w:rPr>
                <w:rFonts w:hint="eastAsia" w:ascii="Times New Roman" w:hAnsi="Times New Roman" w:eastAsia="宋体" w:cs="Times New Roman"/>
                <w:szCs w:val="22"/>
                <w:highlight w:val="none"/>
                <w:lang w:val="zh-CN"/>
              </w:rPr>
              <w:t>部。</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外部因素——国际经济政治形势、</w:t>
            </w:r>
            <w:r>
              <w:rPr>
                <w:rFonts w:hint="eastAsia" w:ascii="Times New Roman" w:hAnsi="Times New Roman" w:eastAsia="宋体" w:cs="Times New Roman"/>
                <w:szCs w:val="22"/>
                <w:highlight w:val="none"/>
                <w:lang w:val="en-US" w:eastAsia="zh-CN"/>
              </w:rPr>
              <w:t>国家政策</w:t>
            </w:r>
            <w:r>
              <w:rPr>
                <w:rFonts w:hint="eastAsia" w:ascii="Times New Roman" w:hAnsi="Times New Roman" w:eastAsia="宋体" w:cs="Times New Roman"/>
                <w:szCs w:val="22"/>
                <w:highlight w:val="none"/>
                <w:lang w:val="zh-CN"/>
              </w:rPr>
              <w:t>变动、竞争对手、客户需求的变化、新技术的采用等；</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内部因素</w:t>
            </w:r>
            <w:r>
              <w:rPr>
                <w:rFonts w:hint="eastAsia" w:ascii="Times New Roman" w:hAnsi="Times New Roman" w:eastAsia="宋体" w:cs="Times New Roman"/>
                <w:szCs w:val="22"/>
                <w:highlight w:val="none"/>
                <w:lang w:val="zh-CN" w:eastAsia="zh-CN"/>
              </w:rPr>
              <w:t>——</w:t>
            </w:r>
            <w:r>
              <w:rPr>
                <w:rFonts w:hint="eastAsia" w:ascii="Times New Roman" w:hAnsi="Times New Roman" w:eastAsia="宋体" w:cs="Times New Roman"/>
                <w:szCs w:val="22"/>
                <w:highlight w:val="none"/>
                <w:lang w:val="zh-CN"/>
              </w:rPr>
              <w:t>公司文化、内部管理机制的建立、人员稳定性、员工年龄、经验等；</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这些因素包括了需要考虑的正面和负面因素或条件。</w:t>
            </w:r>
          </w:p>
          <w:p>
            <w:pPr>
              <w:spacing w:line="360" w:lineRule="auto"/>
              <w:ind w:firstLine="420" w:firstLineChars="200"/>
              <w:rPr>
                <w:rFonts w:hint="eastAsia" w:ascii="Times New Roman" w:hAnsi="Times New Roman" w:eastAsia="宋体" w:cs="Times New Roman"/>
                <w:kern w:val="2"/>
                <w:sz w:val="21"/>
                <w:szCs w:val="22"/>
                <w:highlight w:val="none"/>
                <w:lang w:val="zh-CN" w:eastAsia="zh-CN" w:bidi="ar-SA"/>
              </w:rPr>
            </w:pPr>
            <w:r>
              <w:rPr>
                <w:rFonts w:hint="eastAsia" w:ascii="Times New Roman" w:hAnsi="Times New Roman" w:eastAsia="宋体" w:cs="Times New Roman"/>
                <w:szCs w:val="22"/>
                <w:highlight w:val="none"/>
                <w:lang w:val="zh-CN"/>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理解相关方的需求和期望</w:t>
            </w:r>
          </w:p>
        </w:tc>
        <w:tc>
          <w:tcPr>
            <w:tcW w:w="960" w:type="dxa"/>
            <w:vAlign w:val="top"/>
          </w:tcPr>
          <w:p>
            <w:pPr>
              <w:jc w:val="cente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w:t>
            </w:r>
            <w:r>
              <w:rPr>
                <w:rFonts w:hint="eastAsia" w:ascii="宋体" w:hAnsi="宋体" w:cs="Arial"/>
                <w:spacing w:val="-6"/>
                <w:sz w:val="21"/>
                <w:szCs w:val="21"/>
              </w:rPr>
              <w:t>4.2</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w:t>
            </w:r>
          </w:p>
          <w:p>
            <w:pPr>
              <w:spacing w:line="360" w:lineRule="auto"/>
              <w:ind w:firstLine="420" w:firstLineChars="200"/>
              <w:rPr>
                <w:rFonts w:hint="eastAsia" w:ascii="Times New Roman" w:hAnsi="Times New Roman" w:eastAsia="宋体" w:cs="Times New Roman"/>
                <w:kern w:val="2"/>
                <w:sz w:val="21"/>
                <w:szCs w:val="22"/>
                <w:highlight w:val="none"/>
                <w:lang w:val="zh-CN" w:eastAsia="zh-CN" w:bidi="ar-SA"/>
              </w:rPr>
            </w:pPr>
            <w:r>
              <w:rPr>
                <w:rFonts w:hint="eastAsia" w:ascii="Times New Roman" w:hAnsi="Times New Roman" w:eastAsia="宋体" w:cs="Times New Roman"/>
                <w:szCs w:val="22"/>
                <w:highlight w:val="none"/>
                <w:lang w:val="en-US" w:eastAsia="zh-CN"/>
              </w:rPr>
              <w:t>相关方主要期望：价格、待遇、公平性、安全性、合同协议、行业规范标准等。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rPr>
            </w:pPr>
            <w:r>
              <w:rPr>
                <w:rFonts w:hint="eastAsia"/>
              </w:rPr>
              <w:t>应对风险和机遇的措施</w:t>
            </w:r>
          </w:p>
          <w:p>
            <w:pPr>
              <w:rPr>
                <w:rFonts w:hint="default" w:ascii="宋体" w:hAnsi="宋体" w:eastAsia="宋体" w:cs="Times New Roman"/>
                <w:b/>
                <w:kern w:val="2"/>
                <w:sz w:val="52"/>
                <w:lang w:val="en-US" w:eastAsia="zh-CN" w:bidi="ar-SA"/>
              </w:rPr>
            </w:pPr>
            <w:r>
              <w:rPr>
                <w:rFonts w:hint="eastAsia"/>
              </w:rPr>
              <w:t>确定管理体系的范围</w:t>
            </w:r>
          </w:p>
        </w:tc>
        <w:tc>
          <w:tcPr>
            <w:tcW w:w="960" w:type="dxa"/>
            <w:vAlign w:val="top"/>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O:6.1</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4.3</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4.4</w:t>
            </w:r>
          </w:p>
          <w:p>
            <w:pPr>
              <w:jc w:val="center"/>
              <w:rPr>
                <w:rFonts w:hint="default" w:ascii="Times New Roman" w:hAnsi="Times New Roman" w:eastAsia="宋体" w:cs="Times New Roman"/>
                <w:kern w:val="2"/>
                <w:sz w:val="21"/>
                <w:lang w:val="en-US" w:eastAsia="zh-CN" w:bidi="ar-SA"/>
              </w:rPr>
            </w:pP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基于对4.1和4.2的考虑，公司管理层分析了公司存在的风险和机遇：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机遇：随着电子商务的发展，人们的生活习惯变更，在外就餐，特别是学生用餐更加依赖外部提供；</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风险：时代的快速发展，餐饮业竞争越来越剧烈；导致人员需求扩大，人才的竞争将越来越激烈是公司目前的风险。</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保留不可接受风险清单：触电伤害、潜在火灾、交通意外伤害、中毒，基本合理。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控制措施：制定目标、指标和管理方案；提高交通安全意识；</w:t>
            </w:r>
            <w:r>
              <w:rPr>
                <w:rFonts w:hint="eastAsia" w:ascii="宋体" w:hAnsi="宋体" w:eastAsia="宋体" w:cs="Arial"/>
                <w:color w:val="auto"/>
                <w:spacing w:val="-6"/>
                <w:sz w:val="21"/>
                <w:szCs w:val="21"/>
                <w:lang w:val="en-US" w:eastAsia="zh-CN"/>
              </w:rPr>
              <w:t>安全用电，</w:t>
            </w:r>
            <w:r>
              <w:rPr>
                <w:rFonts w:hint="eastAsia" w:ascii="宋体" w:hAnsi="宋体" w:eastAsia="宋体" w:cs="Arial"/>
                <w:color w:val="auto"/>
                <w:spacing w:val="-6"/>
                <w:sz w:val="21"/>
                <w:szCs w:val="21"/>
                <w:lang w:eastAsia="zh-CN"/>
              </w:rPr>
              <w:t>做好火灾预防措施；</w:t>
            </w:r>
            <w:r>
              <w:rPr>
                <w:rFonts w:hint="eastAsia" w:ascii="宋体" w:hAnsi="宋体" w:eastAsia="宋体" w:cs="Arial"/>
                <w:color w:val="auto"/>
                <w:spacing w:val="-6"/>
                <w:sz w:val="21"/>
                <w:szCs w:val="21"/>
                <w:lang w:val="en-US" w:eastAsia="zh-CN"/>
              </w:rPr>
              <w:t>做好过程控制，防止中毒事件发生</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为应对上述风险和机遇，公司依据GB/T45001-2020标准的要求并结合本公司的具体情况，采取PDCA的过程方法，建立、实施、保持并持续改进职业健康安全管理体系。</w:t>
            </w:r>
          </w:p>
          <w:p>
            <w:pPr>
              <w:spacing w:line="360" w:lineRule="auto"/>
              <w:ind w:firstLine="420" w:firstLineChars="200"/>
              <w:rPr>
                <w:rFonts w:hint="eastAsia" w:ascii="Times New Roman" w:hAnsi="Times New Roman" w:eastAsia="宋体" w:cs="Times New Roman"/>
                <w:szCs w:val="22"/>
                <w:highlight w:val="none"/>
                <w:lang w:val="zh-CN" w:eastAsia="zh-CN"/>
              </w:rPr>
            </w:pPr>
            <w:r>
              <w:rPr>
                <w:rFonts w:hint="eastAsia" w:ascii="Times New Roman" w:hAnsi="Times New Roman" w:eastAsia="宋体" w:cs="Times New Roman"/>
                <w:szCs w:val="22"/>
                <w:highlight w:val="none"/>
                <w:lang w:val="en-US" w:eastAsia="zh-CN"/>
              </w:rPr>
              <w:t>管理手册——A-2021，</w:t>
            </w:r>
            <w:r>
              <w:rPr>
                <w:rFonts w:hint="eastAsia" w:ascii="Times New Roman" w:hAnsi="Times New Roman" w:eastAsia="宋体" w:cs="Times New Roman"/>
                <w:szCs w:val="22"/>
                <w:highlight w:val="none"/>
                <w:lang w:val="zh-CN" w:eastAsia="zh-CN"/>
              </w:rPr>
              <w:t>2021年07月10日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程序文件——GZY/ CX-A-2021，</w:t>
            </w:r>
            <w:r>
              <w:rPr>
                <w:rFonts w:hint="eastAsia" w:ascii="Times New Roman" w:hAnsi="Times New Roman" w:eastAsia="宋体" w:cs="Times New Roman"/>
                <w:szCs w:val="22"/>
                <w:highlight w:val="none"/>
                <w:lang w:val="zh-CN" w:eastAsia="zh-CN"/>
              </w:rPr>
              <w:t>2021年07月10日，</w:t>
            </w:r>
            <w:r>
              <w:rPr>
                <w:rFonts w:hint="eastAsia" w:ascii="Times New Roman" w:hAnsi="Times New Roman" w:eastAsia="宋体" w:cs="Times New Roman"/>
                <w:szCs w:val="22"/>
                <w:highlight w:val="none"/>
                <w:lang w:val="en-US" w:eastAsia="zh-CN"/>
              </w:rPr>
              <w:t>包括：危险源辩识和风险评价控制程序、法律法规和其他要求控制程序、教育培训控制程序、沟通控制程序、参与和协商控制程序、文件控制程序、应急准备和响应控制程序、绩效测量和监视控制程序、合规性评价控制程序等26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管理文件——编制有操作性提前方案、HACCP计划书、前提方案；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建立有外来文件清单，收集相关标准和法律等7个——中华人民共和国劳动合同法、中华人民共和国食品安全法、食品中污染物限量、食品中农药最大残留限量；</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建立健康安全法律法规和其他要求清单，共50个。</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本公司识别并确定过程：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采购—进料检验—原材料清洗—切配—烹饪—留样—分配—餐具消毒—垃圾处理</w:t>
            </w:r>
          </w:p>
          <w:p>
            <w:pPr>
              <w:spacing w:line="360" w:lineRule="auto"/>
              <w:ind w:firstLine="420" w:firstLineChars="200"/>
              <w:rPr>
                <w:rFonts w:hint="eastAsia"/>
                <w:lang w:val="zh-CN" w:eastAsia="zh-CN"/>
              </w:rPr>
            </w:pPr>
            <w:r>
              <w:rPr>
                <w:rFonts w:hint="eastAsia"/>
                <w:highlight w:val="none"/>
                <w:lang w:val="en-US" w:eastAsia="zh-CN"/>
              </w:rPr>
              <w:t>关键过程：烹饪、分配。</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zh-CN"/>
              </w:rPr>
              <w:t>主要</w:t>
            </w:r>
            <w:r>
              <w:rPr>
                <w:rFonts w:hint="eastAsia" w:ascii="Times New Roman" w:hAnsi="Times New Roman" w:eastAsia="宋体" w:cs="Times New Roman"/>
                <w:szCs w:val="22"/>
                <w:highlight w:val="none"/>
                <w:lang w:val="en-US" w:eastAsia="zh-CN"/>
              </w:rPr>
              <w:t>提供</w:t>
            </w:r>
            <w:r>
              <w:rPr>
                <w:rFonts w:hint="eastAsia" w:ascii="Times New Roman" w:hAnsi="Times New Roman" w:eastAsia="宋体" w:cs="Times New Roman"/>
                <w:szCs w:val="22"/>
                <w:highlight w:val="none"/>
                <w:lang w:val="zh-CN"/>
              </w:rPr>
              <w:t>集食堂委托管理、自助餐厅、水吧便利超市、物流配送、餐饮管理、食品营养咨询服务；</w:t>
            </w:r>
            <w:r>
              <w:rPr>
                <w:rFonts w:hint="eastAsia" w:ascii="Times New Roman" w:hAnsi="Times New Roman" w:eastAsia="宋体" w:cs="Times New Roman"/>
                <w:szCs w:val="22"/>
                <w:highlight w:val="none"/>
                <w:lang w:val="en-US" w:eastAsia="zh-CN"/>
              </w:rPr>
              <w:t>保持营业执照和食品经营许可证，覆盖了认证范围：</w:t>
            </w:r>
          </w:p>
          <w:p>
            <w:pPr>
              <w:spacing w:line="360" w:lineRule="auto"/>
              <w:ind w:firstLine="400" w:firstLineChars="200"/>
              <w:rPr>
                <w:rFonts w:hint="default" w:ascii="Times New Roman" w:hAnsi="Times New Roman" w:eastAsia="宋体" w:cs="Times New Roman"/>
                <w:szCs w:val="22"/>
                <w:highlight w:val="none"/>
                <w:lang w:val="en-US" w:eastAsia="zh-CN"/>
              </w:rPr>
            </w:pPr>
            <w:r>
              <w:rPr>
                <w:rFonts w:hint="eastAsia"/>
                <w:sz w:val="20"/>
                <w:lang w:val="en-US" w:eastAsia="zh-CN"/>
              </w:rPr>
              <w:t>O</w:t>
            </w:r>
            <w:r>
              <w:rPr>
                <w:sz w:val="20"/>
              </w:rPr>
              <w:t>餐饮服务</w:t>
            </w:r>
            <w:r>
              <w:rPr>
                <w:rFonts w:hint="eastAsia"/>
                <w:sz w:val="20"/>
              </w:rPr>
              <w:t>（限食品经营许可证范围内）</w:t>
            </w:r>
            <w:r>
              <w:rPr>
                <w:sz w:val="20"/>
              </w:rPr>
              <w:t>所涉及场所的相关职业健康安全管理活动</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kern w:val="2"/>
                <w:sz w:val="21"/>
                <w:szCs w:val="22"/>
                <w:highlight w:val="none"/>
                <w:lang w:val="zh-CN" w:eastAsia="zh-CN" w:bidi="ar-SA"/>
              </w:rPr>
            </w:pPr>
            <w:r>
              <w:rPr>
                <w:rFonts w:hint="eastAsia" w:ascii="Times New Roman" w:hAnsi="Times New Roman" w:eastAsia="宋体" w:cs="Times New Roman"/>
                <w:szCs w:val="22"/>
                <w:highlight w:val="none"/>
                <w:lang w:val="en-US" w:eastAsia="zh-CN"/>
              </w:rPr>
              <w:t>体系新建立，暂无变更。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hint="eastAsia" w:ascii="宋体" w:hAnsi="宋体" w:cs="Arial"/>
                <w:spacing w:val="-6"/>
                <w:sz w:val="21"/>
                <w:szCs w:val="21"/>
              </w:rPr>
            </w:pPr>
            <w:r>
              <w:rPr>
                <w:rFonts w:hint="eastAsia" w:ascii="宋体" w:hAnsi="宋体" w:cs="Arial"/>
                <w:spacing w:val="-6"/>
                <w:sz w:val="21"/>
                <w:szCs w:val="21"/>
              </w:rPr>
              <w:t>职业健康方针</w:t>
            </w:r>
          </w:p>
          <w:p>
            <w:pPr>
              <w:rPr>
                <w:rFonts w:hint="default" w:ascii="宋体" w:hAnsi="宋体" w:eastAsia="宋体" w:cs="Arial"/>
                <w:spacing w:val="-6"/>
                <w:kern w:val="2"/>
                <w:sz w:val="21"/>
                <w:szCs w:val="21"/>
                <w:lang w:val="en-US" w:eastAsia="zh-CN" w:bidi="ar-SA"/>
              </w:rPr>
            </w:pPr>
            <w:r>
              <w:rPr>
                <w:rFonts w:hint="eastAsia" w:ascii="宋体" w:hAnsi="宋体" w:cs="Arial"/>
                <w:sz w:val="21"/>
                <w:szCs w:val="21"/>
              </w:rPr>
              <w:t>职业健康</w:t>
            </w:r>
            <w:r>
              <w:rPr>
                <w:rFonts w:hint="eastAsia" w:ascii="宋体" w:hAnsi="宋体" w:cs="Arial"/>
                <w:spacing w:val="-6"/>
                <w:sz w:val="21"/>
                <w:szCs w:val="21"/>
              </w:rPr>
              <w:t>安全目标及其实现的策划</w:t>
            </w:r>
          </w:p>
        </w:tc>
        <w:tc>
          <w:tcPr>
            <w:tcW w:w="960" w:type="dxa"/>
            <w:vAlign w:val="top"/>
          </w:tcPr>
          <w:p>
            <w:pPr>
              <w:rPr>
                <w:rFonts w:hint="eastAsia" w:ascii="宋体" w:hAnsi="宋体" w:cs="Arial"/>
                <w:spacing w:val="-6"/>
                <w:sz w:val="21"/>
                <w:szCs w:val="21"/>
              </w:rPr>
            </w:pPr>
            <w:r>
              <w:rPr>
                <w:rFonts w:hint="eastAsia" w:ascii="宋体" w:hAnsi="宋体" w:cs="Arial"/>
                <w:spacing w:val="-6"/>
                <w:sz w:val="21"/>
                <w:szCs w:val="21"/>
                <w:lang w:val="en-US" w:eastAsia="zh-CN"/>
              </w:rPr>
              <w:t>O:</w:t>
            </w:r>
            <w:r>
              <w:rPr>
                <w:rFonts w:hint="eastAsia" w:ascii="宋体" w:hAnsi="宋体" w:cs="Arial"/>
                <w:spacing w:val="-6"/>
                <w:sz w:val="21"/>
                <w:szCs w:val="21"/>
              </w:rPr>
              <w:t>5.2</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6.2</w:t>
            </w:r>
          </w:p>
        </w:tc>
        <w:tc>
          <w:tcPr>
            <w:tcW w:w="0" w:type="auto"/>
            <w:vAlign w:val="top"/>
          </w:tcPr>
          <w:p>
            <w:pPr>
              <w:spacing w:line="360" w:lineRule="auto"/>
              <w:ind w:firstLine="420" w:firstLineChars="200"/>
              <w:rPr>
                <w:rFonts w:hint="eastAsia"/>
              </w:rPr>
            </w:pPr>
            <w:r>
              <w:rPr>
                <w:rFonts w:hint="eastAsia"/>
              </w:rPr>
              <w:t>1.方针：</w:t>
            </w:r>
          </w:p>
          <w:p>
            <w:pPr>
              <w:pStyle w:val="2"/>
              <w:ind w:firstLine="420" w:firstLineChars="200"/>
              <w:rPr>
                <w:rFonts w:hint="eastAsia"/>
              </w:rPr>
            </w:pPr>
            <w:r>
              <w:rPr>
                <w:rFonts w:hint="eastAsia"/>
              </w:rPr>
              <w:t>以人为本  遵循法规  确保健康安全</w:t>
            </w:r>
          </w:p>
          <w:p>
            <w:pPr>
              <w:pStyle w:val="2"/>
              <w:ind w:firstLine="420" w:firstLineChars="200"/>
              <w:rPr>
                <w:rFonts w:hint="eastAsia"/>
              </w:rPr>
            </w:pPr>
            <w:r>
              <w:rPr>
                <w:rFonts w:hint="eastAsia"/>
              </w:rPr>
              <w:t>全员参与  持续改进  关注相关方需求</w:t>
            </w:r>
          </w:p>
          <w:p>
            <w:pPr>
              <w:pStyle w:val="2"/>
              <w:ind w:firstLine="420" w:firstLineChars="200"/>
              <w:rPr>
                <w:rFonts w:hint="eastAsia"/>
              </w:rPr>
            </w:pPr>
            <w:r>
              <w:rPr>
                <w:rFonts w:hint="eastAsia"/>
              </w:rPr>
              <w:t>方针适宜于公司现状，在管理手册中明确，通过文件发放，使员工获知，适用时提供给相关方。</w:t>
            </w:r>
          </w:p>
          <w:p>
            <w:pPr>
              <w:pStyle w:val="2"/>
              <w:ind w:firstLine="420" w:firstLineChars="200"/>
              <w:rPr>
                <w:rFonts w:hint="eastAsia"/>
              </w:rPr>
            </w:pPr>
            <w:r>
              <w:rPr>
                <w:rFonts w:hint="eastAsia"/>
              </w:rPr>
              <w:t>2.管理目标：</w:t>
            </w:r>
          </w:p>
          <w:p>
            <w:pPr>
              <w:pStyle w:val="2"/>
              <w:ind w:firstLine="420" w:firstLineChars="200"/>
              <w:rPr>
                <w:rFonts w:hint="eastAsia"/>
              </w:rPr>
            </w:pPr>
            <w:r>
              <w:rPr>
                <w:rFonts w:hint="eastAsia"/>
              </w:rPr>
              <w:t>火灾、触电事故</w:t>
            </w:r>
            <w:r>
              <w:rPr>
                <w:rFonts w:hint="eastAsia"/>
              </w:rPr>
              <w:tab/>
            </w:r>
            <w:r>
              <w:rPr>
                <w:rFonts w:hint="eastAsia"/>
              </w:rPr>
              <w:t>0</w:t>
            </w:r>
          </w:p>
          <w:p>
            <w:pPr>
              <w:pStyle w:val="2"/>
              <w:ind w:firstLine="420" w:firstLineChars="200"/>
              <w:rPr>
                <w:rFonts w:hint="eastAsia"/>
              </w:rPr>
            </w:pPr>
            <w:r>
              <w:rPr>
                <w:rFonts w:hint="eastAsia"/>
              </w:rPr>
              <w:t>员工职业病发生率</w:t>
            </w:r>
            <w:r>
              <w:rPr>
                <w:rFonts w:hint="eastAsia"/>
              </w:rPr>
              <w:tab/>
            </w:r>
            <w:r>
              <w:rPr>
                <w:rFonts w:hint="eastAsia"/>
              </w:rPr>
              <w:t>0</w:t>
            </w:r>
          </w:p>
          <w:p>
            <w:pPr>
              <w:pStyle w:val="2"/>
              <w:ind w:firstLine="420" w:firstLineChars="200"/>
              <w:rPr>
                <w:rFonts w:hint="eastAsia"/>
                <w:lang w:val="en-US" w:eastAsia="zh-CN"/>
              </w:rPr>
            </w:pPr>
            <w:r>
              <w:rPr>
                <w:rFonts w:hint="eastAsia"/>
                <w:color w:val="auto"/>
                <w:lang w:val="en-US" w:eastAsia="zh-CN"/>
              </w:rPr>
              <w:t>制定“</w:t>
            </w:r>
            <w:r>
              <w:rPr>
                <w:rFonts w:hint="eastAsia" w:ascii="Times New Roman" w:hAnsi="Times New Roman" w:eastAsia="宋体" w:cs="Times New Roman"/>
                <w:color w:val="auto"/>
                <w:szCs w:val="22"/>
                <w:lang w:val="en-US" w:eastAsia="zh-CN"/>
              </w:rPr>
              <w:t>管理方案和控制措施</w:t>
            </w:r>
            <w:r>
              <w:rPr>
                <w:rFonts w:hint="eastAsia"/>
                <w:color w:val="auto"/>
                <w:lang w:val="en-US" w:eastAsia="zh-CN"/>
              </w:rPr>
              <w:t>”，对目</w:t>
            </w:r>
            <w:r>
              <w:rPr>
                <w:rFonts w:hint="eastAsia"/>
                <w:lang w:val="en-US" w:eastAsia="zh-CN"/>
              </w:rPr>
              <w:t>标实现进行了策划；</w:t>
            </w:r>
          </w:p>
          <w:p>
            <w:pPr>
              <w:pStyle w:val="2"/>
              <w:ind w:firstLine="420" w:firstLineChars="200"/>
              <w:rPr>
                <w:rFonts w:hint="eastAsia"/>
                <w:lang w:val="en-US" w:eastAsia="zh-CN"/>
              </w:rPr>
            </w:pPr>
            <w:r>
              <w:rPr>
                <w:rFonts w:hint="eastAsia"/>
                <w:lang w:val="en-US" w:eastAsia="zh-CN"/>
              </w:rPr>
              <w:t>通过“</w:t>
            </w:r>
            <w:r>
              <w:rPr>
                <w:rFonts w:hint="default"/>
                <w:lang w:val="en-US" w:eastAsia="zh-CN"/>
              </w:rPr>
              <w:t>目标实施措施表</w:t>
            </w:r>
            <w:r>
              <w:rPr>
                <w:rFonts w:hint="eastAsia"/>
                <w:lang w:val="en-US" w:eastAsia="zh-CN"/>
              </w:rPr>
              <w:t>”，对目标进行分解到各部门；</w:t>
            </w:r>
          </w:p>
          <w:p>
            <w:pPr>
              <w:pStyle w:val="2"/>
              <w:ind w:firstLine="420" w:firstLineChars="200"/>
              <w:rPr>
                <w:rFonts w:ascii="Times New Roman" w:hAnsi="Times New Roman" w:eastAsia="宋体" w:cs="Times New Roman"/>
                <w:kern w:val="2"/>
                <w:sz w:val="21"/>
                <w:lang w:val="en-US" w:eastAsia="zh-CN" w:bidi="ar-SA"/>
              </w:rPr>
            </w:pPr>
            <w:r>
              <w:rPr>
                <w:rFonts w:hint="eastAsia"/>
                <w:lang w:val="en-US" w:eastAsia="zh-CN"/>
              </w:rPr>
              <w:t>“目标考核记录表”显示对目标完成情况进行了季度考核，均完成。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领导作用</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0" w:type="auto"/>
            <w:vAlign w:val="top"/>
          </w:tcPr>
          <w:p>
            <w:pPr>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O:</w:t>
            </w:r>
            <w:r>
              <w:rPr>
                <w:rFonts w:hint="eastAsia" w:ascii="宋体" w:hAnsi="宋体" w:eastAsia="宋体" w:cs="Arial"/>
                <w:spacing w:val="-6"/>
                <w:sz w:val="21"/>
                <w:szCs w:val="21"/>
                <w:lang w:val="en-US" w:eastAsia="zh-CN"/>
              </w:rPr>
              <w:t>5.1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5.3</w:t>
            </w:r>
          </w:p>
        </w:tc>
        <w:tc>
          <w:tcPr>
            <w:tcW w:w="0" w:type="auto"/>
            <w:vAlign w:val="top"/>
          </w:tcPr>
          <w:p>
            <w:pPr>
              <w:pStyle w:val="2"/>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最高管理者在管理手册中明确了各部门和各岗位的职责和权限，以确保管理体系符合各项标准的要求，并确保各个过程获得其预期输出。</w:t>
            </w:r>
          </w:p>
          <w:p>
            <w:pPr>
              <w:pStyle w:val="2"/>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经授权的分管领导向最高管理者报告职业健康安全管理体系的绩效及改进机会，确保整个组织推动职业健康安全管理绩效，确保在策划和实施管理体系变更时保持其完整性。</w:t>
            </w:r>
          </w:p>
          <w:p>
            <w:pPr>
              <w:pStyle w:val="2"/>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公司设置有行政部、业务部、</w:t>
            </w:r>
            <w:r>
              <w:rPr>
                <w:rFonts w:hint="eastAsia" w:ascii="Times New Roman" w:hAnsi="Times New Roman" w:eastAsia="宋体" w:cs="Times New Roman"/>
                <w:szCs w:val="22"/>
                <w:lang w:val="en-US" w:eastAsia="zh-CN"/>
              </w:rPr>
              <w:t>厨务</w:t>
            </w:r>
            <w:r>
              <w:rPr>
                <w:rFonts w:hint="eastAsia" w:ascii="Times New Roman" w:hAnsi="Times New Roman" w:eastAsia="宋体" w:cs="Times New Roman"/>
                <w:szCs w:val="22"/>
              </w:rPr>
              <w:t>部。</w:t>
            </w:r>
          </w:p>
          <w:p>
            <w:pPr>
              <w:pStyle w:val="2"/>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经查每个部门均有部门职责和权限，各岗位的职责和权限、任职要求在《管理手册》中得到规定。</w:t>
            </w:r>
          </w:p>
          <w:p>
            <w:pPr>
              <w:pStyle w:val="2"/>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szCs w:val="22"/>
              </w:rPr>
              <w:t>经查问组织内的职责和权限基本得到沟通，通过文件发布、传达、会议、培训等了解有关职责和权限。同总经理交谈，对于自身职责权限比较清楚。</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w:t>
            </w:r>
          </w:p>
        </w:tc>
        <w:tc>
          <w:tcPr>
            <w:tcW w:w="0" w:type="auto"/>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O:</w:t>
            </w:r>
            <w:r>
              <w:rPr>
                <w:rFonts w:hint="eastAsia" w:ascii="宋体" w:hAnsi="宋体" w:cs="Arial"/>
                <w:spacing w:val="-6"/>
                <w:sz w:val="21"/>
                <w:szCs w:val="21"/>
              </w:rPr>
              <w:t>7.1</w:t>
            </w:r>
          </w:p>
        </w:tc>
        <w:tc>
          <w:tcPr>
            <w:tcW w:w="0" w:type="auto"/>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highlight w:val="none"/>
                <w:lang w:val="zh-CN"/>
              </w:rPr>
              <w:t>江西港滋源餐饮管理有限公司成立于2017年，公司注册资金</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lang w:val="zh-CN"/>
              </w:rPr>
              <w:t>00万元；</w:t>
            </w:r>
            <w:r>
              <w:rPr>
                <w:rFonts w:hint="eastAsia" w:ascii="Times New Roman" w:hAnsi="Times New Roman" w:eastAsia="宋体" w:cs="Times New Roman"/>
                <w:szCs w:val="22"/>
                <w:lang w:val="en-US" w:eastAsia="zh-CN"/>
              </w:rPr>
              <w:t>办公面积约400平方米。</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en-US" w:eastAsia="zh-CN"/>
              </w:rPr>
              <w:t>注册</w:t>
            </w:r>
            <w:r>
              <w:rPr>
                <w:rFonts w:hint="eastAsia" w:ascii="Times New Roman" w:hAnsi="Times New Roman" w:eastAsia="宋体" w:cs="Times New Roman"/>
                <w:szCs w:val="22"/>
                <w:highlight w:val="none"/>
                <w:lang w:val="zh-CN"/>
              </w:rPr>
              <w:t>地址：</w:t>
            </w:r>
            <w:r>
              <w:rPr>
                <w:rFonts w:asciiTheme="minorEastAsia" w:hAnsiTheme="minorEastAsia" w:eastAsiaTheme="minorEastAsia"/>
                <w:sz w:val="20"/>
              </w:rPr>
              <w:t>江西省南昌市青山湖区高新技术产业园沈桥路899号</w:t>
            </w:r>
            <w:r>
              <w:rPr>
                <w:rFonts w:hint="eastAsia" w:asciiTheme="minorEastAsia" w:hAnsiTheme="minorEastAsia" w:eastAsiaTheme="minorEastAsia"/>
                <w:sz w:val="20"/>
                <w:lang w:val="en-US" w:eastAsia="zh-CN"/>
              </w:rPr>
              <w:t>鄱</w:t>
            </w:r>
            <w:r>
              <w:rPr>
                <w:rFonts w:asciiTheme="minorEastAsia" w:hAnsiTheme="minorEastAsia" w:eastAsiaTheme="minorEastAsia"/>
                <w:sz w:val="20"/>
              </w:rPr>
              <w:t>湖工业园物管大楼1楼</w:t>
            </w:r>
            <w:r>
              <w:rPr>
                <w:rFonts w:hint="eastAsia" w:ascii="Times New Roman" w:hAnsi="Times New Roman" w:eastAsia="宋体" w:cs="Times New Roman"/>
                <w:szCs w:val="22"/>
                <w:highlight w:val="none"/>
                <w:lang w:val="zh-CN"/>
              </w:rPr>
              <w:t>；</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en-US" w:eastAsia="zh-CN"/>
              </w:rPr>
              <w:t>经营</w:t>
            </w:r>
            <w:r>
              <w:rPr>
                <w:rFonts w:hint="eastAsia" w:ascii="Times New Roman" w:hAnsi="Times New Roman" w:eastAsia="宋体" w:cs="Times New Roman"/>
                <w:szCs w:val="22"/>
                <w:highlight w:val="none"/>
                <w:lang w:val="zh-CN"/>
              </w:rPr>
              <w:t>地址：</w:t>
            </w:r>
            <w:r>
              <w:rPr>
                <w:rFonts w:asciiTheme="minorEastAsia" w:hAnsiTheme="minorEastAsia" w:eastAsiaTheme="minorEastAsia"/>
                <w:sz w:val="20"/>
              </w:rPr>
              <w:t>江西省南昌市青山湖区昌东工业园沈桥路899号</w:t>
            </w:r>
            <w:r>
              <w:rPr>
                <w:rFonts w:hint="eastAsia" w:ascii="Times New Roman" w:hAnsi="Times New Roman" w:eastAsia="宋体" w:cs="Times New Roman"/>
                <w:szCs w:val="22"/>
                <w:highlight w:val="none"/>
                <w:lang w:val="zh-CN"/>
              </w:rPr>
              <w:t>；</w:t>
            </w:r>
            <w:r>
              <w:rPr>
                <w:rFonts w:hint="eastAsia" w:ascii="Times New Roman" w:hAnsi="Times New Roman" w:eastAsia="宋体" w:cs="Times New Roman"/>
                <w:szCs w:val="22"/>
                <w:highlight w:val="none"/>
                <w:lang w:val="en-US" w:eastAsia="zh-CN"/>
              </w:rPr>
              <w:t>占地面积约400平方米。</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公司现有员工</w:t>
            </w:r>
            <w:r>
              <w:rPr>
                <w:rFonts w:hint="eastAsia" w:ascii="Times New Roman" w:hAnsi="Times New Roman" w:eastAsia="宋体" w:cs="Times New Roman"/>
                <w:szCs w:val="22"/>
                <w:highlight w:val="none"/>
                <w:lang w:val="en-US" w:eastAsia="zh-CN"/>
              </w:rPr>
              <w:t>30</w:t>
            </w:r>
            <w:r>
              <w:rPr>
                <w:rFonts w:hint="eastAsia" w:ascii="Times New Roman" w:hAnsi="Times New Roman" w:eastAsia="宋体" w:cs="Times New Roman"/>
                <w:szCs w:val="22"/>
                <w:highlight w:val="none"/>
                <w:lang w:val="zh-CN"/>
              </w:rPr>
              <w:t>人，</w:t>
            </w:r>
            <w:r>
              <w:rPr>
                <w:rFonts w:hint="eastAsia" w:ascii="Times New Roman" w:hAnsi="Times New Roman" w:eastAsia="宋体" w:cs="Times New Roman"/>
                <w:szCs w:val="22"/>
                <w:highlight w:val="none"/>
                <w:lang w:val="en-US" w:eastAsia="zh-CN"/>
              </w:rPr>
              <w:t>厨务人员持证上岗</w:t>
            </w:r>
            <w:r>
              <w:rPr>
                <w:rFonts w:hint="eastAsia" w:ascii="Times New Roman" w:hAnsi="Times New Roman" w:eastAsia="宋体" w:cs="Times New Roman"/>
                <w:szCs w:val="22"/>
                <w:highlight w:val="none"/>
                <w:lang w:val="zh-CN"/>
              </w:rPr>
              <w:t>；</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主要设备：电磁单头大锅炉、厨房油烟净化一体机、切菜机、四门冷柜、消毒柜等；</w:t>
            </w:r>
          </w:p>
          <w:p>
            <w:pPr>
              <w:spacing w:line="360" w:lineRule="auto"/>
              <w:ind w:firstLine="420" w:firstLineChars="200"/>
              <w:rPr>
                <w:rFonts w:hint="eastAsia" w:ascii="Times New Roman" w:hAnsi="Times New Roman" w:eastAsia="宋体" w:cs="Times New Roman"/>
                <w:b w:val="0"/>
                <w:kern w:val="2"/>
                <w:sz w:val="21"/>
                <w:szCs w:val="22"/>
                <w:highlight w:val="none"/>
                <w:lang w:val="zh-CN" w:eastAsia="zh-CN" w:bidi="ar-SA"/>
              </w:rPr>
            </w:pPr>
            <w:r>
              <w:rPr>
                <w:rFonts w:hint="eastAsia" w:ascii="Times New Roman" w:hAnsi="Times New Roman" w:eastAsia="宋体" w:cs="Times New Roman"/>
                <w:b w:val="0"/>
                <w:kern w:val="2"/>
                <w:sz w:val="21"/>
                <w:szCs w:val="22"/>
                <w:highlight w:val="none"/>
                <w:lang w:val="en-US" w:eastAsia="zh-CN" w:bidi="ar-SA"/>
              </w:rPr>
              <w:t>安全</w:t>
            </w:r>
            <w:r>
              <w:rPr>
                <w:rFonts w:hint="eastAsia" w:ascii="Times New Roman" w:hAnsi="Times New Roman" w:eastAsia="宋体" w:cs="Times New Roman"/>
                <w:b w:val="0"/>
                <w:kern w:val="2"/>
                <w:sz w:val="21"/>
                <w:szCs w:val="22"/>
                <w:highlight w:val="none"/>
                <w:lang w:val="zh-CN" w:eastAsia="zh-CN" w:bidi="ar-SA"/>
              </w:rPr>
              <w:t>设备：垃圾桶、灭火器</w:t>
            </w:r>
            <w:r>
              <w:rPr>
                <w:rFonts w:hint="eastAsia"/>
                <w:color w:val="auto"/>
                <w:szCs w:val="22"/>
                <w:highlight w:val="none"/>
                <w:lang w:val="zh-CN"/>
              </w:rPr>
              <w:t>等；</w:t>
            </w:r>
          </w:p>
          <w:p>
            <w:pPr>
              <w:pStyle w:val="2"/>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确认公司目前人力资源、基础设施、财力、信息等资源均能保证。</w:t>
            </w:r>
          </w:p>
          <w:p>
            <w:pPr>
              <w:pStyle w:val="2"/>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办公</w:t>
            </w:r>
            <w:r>
              <w:rPr>
                <w:rFonts w:hint="default" w:ascii="Times New Roman" w:hAnsi="Times New Roman" w:eastAsia="宋体" w:cs="Times New Roman"/>
                <w:szCs w:val="22"/>
                <w:lang w:val="en-US" w:eastAsia="zh-CN"/>
              </w:rPr>
              <w:t>现场配备了灭火器等消防安全设备，能保证企业正常办公。</w:t>
            </w:r>
          </w:p>
          <w:p>
            <w:pPr>
              <w:pStyle w:val="2"/>
              <w:spacing w:line="360" w:lineRule="auto"/>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公司财务能保证质量、环境工作的开展，确保相关资金及时投入。</w:t>
            </w:r>
          </w:p>
          <w:p>
            <w:pPr>
              <w:pStyle w:val="2"/>
              <w:spacing w:line="360" w:lineRule="auto"/>
              <w:ind w:firstLine="420" w:firstLineChars="200"/>
              <w:rPr>
                <w:rFonts w:ascii="Times New Roman" w:hAnsi="Times New Roman" w:eastAsia="宋体" w:cs="Times New Roman"/>
                <w:kern w:val="2"/>
                <w:sz w:val="21"/>
                <w:lang w:val="en-US" w:eastAsia="zh-CN" w:bidi="ar-SA"/>
              </w:rPr>
            </w:pPr>
            <w:r>
              <w:rPr>
                <w:rFonts w:hint="default" w:ascii="Times New Roman" w:hAnsi="Times New Roman" w:eastAsia="宋体" w:cs="Times New Roman"/>
                <w:szCs w:val="22"/>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rPr>
            </w:pPr>
            <w:r>
              <w:rPr>
                <w:rFonts w:hint="eastAsia"/>
              </w:rPr>
              <w:t>沟通</w:t>
            </w:r>
          </w:p>
          <w:p>
            <w:pPr>
              <w:rPr>
                <w:rFonts w:hint="eastAsia"/>
              </w:rPr>
            </w:pPr>
            <w:r>
              <w:rPr>
                <w:rFonts w:hint="eastAsia"/>
              </w:rPr>
              <w:t>信息交流</w:t>
            </w:r>
          </w:p>
          <w:p>
            <w:pPr>
              <w:pStyle w:val="3"/>
              <w:jc w:val="left"/>
              <w:rPr>
                <w:rFonts w:hint="eastAsia"/>
                <w:lang w:val="en-US" w:eastAsia="zh-CN"/>
              </w:rPr>
            </w:pPr>
            <w:r>
              <w:rPr>
                <w:rFonts w:hint="eastAsia" w:ascii="Times New Roman" w:hAnsi="Times New Roman" w:eastAsia="宋体" w:cs="Times New Roman"/>
                <w:b w:val="0"/>
                <w:kern w:val="2"/>
                <w:sz w:val="21"/>
                <w:lang w:val="en-US" w:eastAsia="zh-CN" w:bidi="ar-SA"/>
              </w:rPr>
              <w:t>协商与参与</w:t>
            </w:r>
          </w:p>
        </w:tc>
        <w:tc>
          <w:tcPr>
            <w:tcW w:w="0" w:type="auto"/>
            <w:vAlign w:val="top"/>
          </w:tcPr>
          <w:p>
            <w:pPr>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O:7.4</w:t>
            </w:r>
          </w:p>
          <w:p>
            <w:pPr>
              <w:jc w:val="center"/>
              <w:rPr>
                <w:rFonts w:hint="default" w:eastAsia="宋体"/>
                <w:lang w:val="en-US" w:eastAsia="zh-CN"/>
              </w:rPr>
            </w:pPr>
            <w:r>
              <w:rPr>
                <w:rFonts w:hint="eastAsia" w:ascii="宋体" w:hAnsi="宋体" w:eastAsia="宋体" w:cs="Arial"/>
                <w:spacing w:val="-6"/>
                <w:sz w:val="21"/>
                <w:szCs w:val="21"/>
                <w:lang w:val="en-US" w:eastAsia="zh-CN"/>
              </w:rPr>
              <w:t>5.4</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公司建立了与体系有关的信息通渠沟道，借助于会议、电话、口头交流等方式使全体员工达到沟通和理解。</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目前各部门协调一致，工作基本理顺。</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日常对于</w:t>
            </w:r>
            <w:r>
              <w:rPr>
                <w:rFonts w:hint="eastAsia" w:ascii="Times New Roman" w:hAnsi="Times New Roman" w:eastAsia="宋体" w:cs="Times New Roman"/>
                <w:szCs w:val="22"/>
                <w:highlight w:val="none"/>
                <w:lang w:val="en-US" w:eastAsia="zh-CN"/>
              </w:rPr>
              <w:t>健康安全</w:t>
            </w:r>
            <w:r>
              <w:rPr>
                <w:rFonts w:hint="eastAsia" w:ascii="Times New Roman" w:hAnsi="Times New Roman" w:eastAsia="宋体" w:cs="Times New Roman"/>
                <w:szCs w:val="22"/>
                <w:highlight w:val="none"/>
                <w:lang w:val="zh-CN"/>
              </w:rPr>
              <w:t>方面的信息主要利用会议、培训、座谈、电话、网络、文件等方式进行内外部沟通和协商。</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保持“告各相关方的一封信”，与客户沟通</w:t>
            </w:r>
            <w:r>
              <w:rPr>
                <w:rFonts w:hint="eastAsia" w:ascii="Times New Roman" w:hAnsi="Times New Roman" w:eastAsia="宋体" w:cs="Times New Roman"/>
                <w:szCs w:val="22"/>
                <w:highlight w:val="none"/>
                <w:lang w:val="en-US" w:eastAsia="zh-CN"/>
              </w:rPr>
              <w:t>职业健康安全</w:t>
            </w:r>
            <w:r>
              <w:rPr>
                <w:rFonts w:hint="eastAsia" w:ascii="Times New Roman" w:hAnsi="Times New Roman" w:eastAsia="宋体" w:cs="Times New Roman"/>
                <w:szCs w:val="22"/>
                <w:highlight w:val="none"/>
                <w:lang w:val="zh-CN"/>
              </w:rPr>
              <w:t>保护相关要求。</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现场查见会议记录、通知通报、培训记录等组织内部培训方式相关记录。</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介绍说，目前与外部的信息交流主要是参加会议、接收来文、电话、邮件等，均按要求予以传达和落实，沟通情况较好。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李海英</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spacing w:line="360" w:lineRule="auto"/>
              <w:ind w:firstLine="396" w:firstLineChars="200"/>
              <w:rPr>
                <w:rFonts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0" w:type="auto"/>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O:</w:t>
            </w:r>
            <w:r>
              <w:rPr>
                <w:rFonts w:hint="eastAsia" w:ascii="宋体" w:hAnsi="宋体" w:cs="Arial"/>
                <w:spacing w:val="-6"/>
                <w:sz w:val="21"/>
                <w:szCs w:val="21"/>
              </w:rPr>
              <w:t>9.3</w:t>
            </w:r>
          </w:p>
        </w:tc>
        <w:tc>
          <w:tcPr>
            <w:tcW w:w="0" w:type="auto"/>
            <w:vAlign w:val="top"/>
          </w:tcPr>
          <w:p>
            <w:pPr>
              <w:spacing w:line="360" w:lineRule="auto"/>
              <w:ind w:firstLine="420" w:firstLineChars="200"/>
              <w:rPr>
                <w:rFonts w:hint="eastAsia"/>
                <w:lang w:val="en-US" w:eastAsia="zh-CN"/>
              </w:rPr>
            </w:pPr>
            <w:r>
              <w:rPr>
                <w:rFonts w:hint="eastAsia"/>
                <w:lang w:val="en-US" w:eastAsia="zh-CN"/>
              </w:rPr>
              <w:t>2021年10月28日在公司会议室由</w:t>
            </w:r>
            <w:r>
              <w:rPr>
                <w:rFonts w:hint="eastAsia"/>
                <w:color w:val="auto"/>
                <w:highlight w:val="none"/>
                <w:lang w:val="en-US" w:eastAsia="zh-CN"/>
              </w:rPr>
              <w:t>陈荣</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管理评审结论：体系建立和运行是充分的、适宜的、有效的。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p>
          <w:p>
            <w:pPr>
              <w:spacing w:line="360" w:lineRule="auto"/>
              <w:ind w:firstLine="420" w:firstLineChars="200"/>
              <w:rPr>
                <w:rFonts w:hint="eastAsia"/>
                <w:lang w:val="en-US" w:eastAsia="zh-CN"/>
              </w:rPr>
            </w:pPr>
            <w:r>
              <w:rPr>
                <w:rFonts w:hint="eastAsia"/>
                <w:lang w:val="en-US" w:eastAsia="zh-CN"/>
              </w:rPr>
              <w:t>进一步组织对ISO 9001：2015、ISO 14001：2015、ISO45001：20181标准、《管理手册》、《程序文件》的学习和培训，使与管理体系有关的人员了解和掌握标准和本公司管理体系文件的内容，特别是应该提高内审员的水平和技巧；</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保</w:t>
            </w:r>
            <w:r>
              <w:rPr>
                <w:rFonts w:hint="eastAsia" w:ascii="Times New Roman" w:hAnsi="Times New Roman" w:eastAsia="宋体" w:cs="Times New Roman"/>
                <w:color w:val="auto"/>
                <w:szCs w:val="22"/>
                <w:lang w:val="en-US" w:eastAsia="zh-CN"/>
              </w:rPr>
              <w:t>留有“管理评审改进措施计划”。</w:t>
            </w:r>
            <w:bookmarkStart w:id="6" w:name="_GoBack"/>
            <w:bookmarkEnd w:id="6"/>
          </w:p>
        </w:tc>
        <w:tc>
          <w:tcPr>
            <w:tcW w:w="0" w:type="auto"/>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0" w:type="auto"/>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O:</w:t>
            </w:r>
            <w:r>
              <w:rPr>
                <w:rFonts w:hint="eastAsia" w:ascii="宋体" w:hAnsi="宋体" w:cs="Arial"/>
                <w:spacing w:val="-6"/>
                <w:sz w:val="21"/>
                <w:szCs w:val="21"/>
              </w:rPr>
              <w:t>10.1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10.3</w:t>
            </w:r>
          </w:p>
        </w:tc>
        <w:tc>
          <w:tcPr>
            <w:tcW w:w="0" w:type="auto"/>
            <w:vAlign w:val="top"/>
          </w:tcPr>
          <w:p>
            <w:pPr>
              <w:spacing w:line="360" w:lineRule="auto"/>
              <w:ind w:firstLine="42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管理者代表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0" w:type="auto"/>
            <w:vAlign w:val="top"/>
          </w:tcPr>
          <w:p>
            <w:pPr>
              <w:jc w:val="center"/>
              <w:rPr>
                <w:rFonts w:hint="eastAsia" w:ascii="宋体" w:hAnsi="宋体" w:eastAsia="宋体" w:cs="Arial"/>
                <w:spacing w:val="-6"/>
                <w:kern w:val="2"/>
                <w:sz w:val="21"/>
                <w:szCs w:val="21"/>
                <w:lang w:val="en-US" w:eastAsia="zh-CN" w:bidi="ar-SA"/>
              </w:rPr>
            </w:pPr>
          </w:p>
        </w:tc>
        <w:tc>
          <w:tcPr>
            <w:tcW w:w="0" w:type="auto"/>
            <w:vAlign w:val="top"/>
          </w:tcPr>
          <w:p>
            <w:pPr>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未发生重大职业健康安全事故、遵守法律法规要求。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一阶段</w:t>
            </w:r>
            <w:r>
              <w:rPr>
                <w:rFonts w:hint="eastAsia" w:ascii="宋体" w:hAnsi="宋体" w:cs="Arial"/>
                <w:spacing w:val="-6"/>
                <w:sz w:val="21"/>
                <w:szCs w:val="21"/>
              </w:rPr>
              <w:t>审核不符合项的验证</w:t>
            </w:r>
          </w:p>
        </w:tc>
        <w:tc>
          <w:tcPr>
            <w:tcW w:w="0" w:type="auto"/>
            <w:vAlign w:val="top"/>
          </w:tcPr>
          <w:p>
            <w:pPr>
              <w:jc w:val="center"/>
              <w:rPr>
                <w:rFonts w:hint="eastAsia" w:ascii="宋体" w:hAnsi="宋体" w:eastAsia="宋体" w:cs="Arial"/>
                <w:spacing w:val="-6"/>
                <w:kern w:val="2"/>
                <w:sz w:val="21"/>
                <w:szCs w:val="21"/>
                <w:lang w:val="en-US" w:eastAsia="zh-CN" w:bidi="ar-SA"/>
              </w:rPr>
            </w:pPr>
          </w:p>
        </w:tc>
        <w:tc>
          <w:tcPr>
            <w:tcW w:w="0" w:type="auto"/>
            <w:vAlign w:val="top"/>
          </w:tcPr>
          <w:p>
            <w:pPr>
              <w:ind w:firstLine="420" w:firstLineChars="200"/>
              <w:rPr>
                <w:rFonts w:hint="eastAsia" w:ascii="Times New Roman" w:hAnsi="Times New Roman" w:eastAsia="宋体" w:cs="Times New Roman"/>
                <w:kern w:val="2"/>
                <w:sz w:val="21"/>
                <w:lang w:val="en-US" w:eastAsia="zh-CN" w:bidi="ar-SA"/>
              </w:rPr>
            </w:pPr>
            <w:r>
              <w:rPr>
                <w:rFonts w:hint="eastAsia"/>
                <w:lang w:val="en-US" w:eastAsia="zh-CN"/>
              </w:rPr>
              <w:t>一阶段无整改要求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0" w:type="auto"/>
            <w:vAlign w:val="top"/>
          </w:tcPr>
          <w:p>
            <w:pPr>
              <w:jc w:val="center"/>
              <w:rPr>
                <w:rFonts w:hint="eastAsia" w:ascii="宋体" w:hAnsi="宋体" w:eastAsia="宋体" w:cs="Arial"/>
                <w:spacing w:val="-6"/>
                <w:kern w:val="2"/>
                <w:sz w:val="21"/>
                <w:szCs w:val="21"/>
                <w:lang w:val="en-US" w:eastAsia="zh-CN" w:bidi="ar-SA"/>
              </w:rPr>
            </w:pPr>
          </w:p>
        </w:tc>
        <w:tc>
          <w:tcPr>
            <w:tcW w:w="0" w:type="auto"/>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初次认证</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0" w:type="auto"/>
            <w:vAlign w:val="top"/>
          </w:tcPr>
          <w:p>
            <w:pPr>
              <w:jc w:val="center"/>
              <w:rPr>
                <w:rFonts w:hint="eastAsia" w:ascii="宋体" w:hAnsi="宋体" w:eastAsia="宋体" w:cs="Arial"/>
                <w:spacing w:val="-6"/>
                <w:kern w:val="2"/>
                <w:sz w:val="21"/>
                <w:szCs w:val="21"/>
                <w:lang w:val="en-US" w:eastAsia="zh-CN" w:bidi="ar-SA"/>
              </w:rPr>
            </w:pPr>
          </w:p>
        </w:tc>
        <w:tc>
          <w:tcPr>
            <w:tcW w:w="0" w:type="auto"/>
            <w:vAlign w:val="top"/>
          </w:tcPr>
          <w:p>
            <w:pPr>
              <w:spacing w:line="360" w:lineRule="auto"/>
              <w:ind w:firstLine="420" w:firstLineChars="200"/>
              <w:rPr>
                <w:rFonts w:hint="eastAsia"/>
              </w:rPr>
            </w:pPr>
            <w:r>
              <w:rPr>
                <w:rFonts w:hint="eastAsia"/>
              </w:rPr>
              <w:t>自公司成立以来，未受到上级主管部门有关</w:t>
            </w:r>
            <w:r>
              <w:rPr>
                <w:rFonts w:hint="eastAsia"/>
                <w:lang w:val="en-US" w:eastAsia="zh-CN"/>
              </w:rPr>
              <w:t>职业健康安全</w:t>
            </w:r>
            <w:r>
              <w:rPr>
                <w:rFonts w:hint="eastAsia"/>
              </w:rPr>
              <w:t>的行政处罚。未发生相关方的投诉。</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rPr>
              <w:t>暂时没有国家/地方抽查情况。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体系变动</w:t>
            </w:r>
          </w:p>
        </w:tc>
        <w:tc>
          <w:tcPr>
            <w:tcW w:w="0" w:type="auto"/>
            <w:vAlign w:val="top"/>
          </w:tcPr>
          <w:p>
            <w:pPr>
              <w:jc w:val="center"/>
              <w:rPr>
                <w:rFonts w:hint="eastAsia" w:ascii="宋体" w:hAnsi="宋体" w:eastAsia="宋体" w:cs="Arial"/>
                <w:spacing w:val="-6"/>
                <w:kern w:val="2"/>
                <w:sz w:val="21"/>
                <w:szCs w:val="21"/>
                <w:lang w:val="en-US" w:eastAsia="zh-CN" w:bidi="ar-SA"/>
              </w:rPr>
            </w:pPr>
          </w:p>
        </w:tc>
        <w:tc>
          <w:tcPr>
            <w:tcW w:w="0" w:type="auto"/>
            <w:vAlign w:val="top"/>
          </w:tcPr>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lang w:val="en-US" w:eastAsia="zh-CN"/>
              </w:rPr>
              <w:t>新建管理体系，暂无变动。</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F52E0"/>
    <w:rsid w:val="64534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2021-12-01T06:04:13Z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7C8780D5E3214DB4B13526916EB42390</vt:lpwstr>
  </property>
  <property fmtid="{D5CDD505-2E9C-101B-9397-08002B2CF9AE}" pid="3" name="KSOProductBuildVer">
    <vt:lpwstr>2052-11.1.0.11115</vt:lpwstr>
  </property>
</Properties>
</file>