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江西港滋源餐饮管理有限公司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1255-2021-O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褚敏杰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2021.11.29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2021.11.29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ascii="宋体" w:hAnsi="宋体"/>
                <w:b/>
                <w:sz w:val="22"/>
                <w:szCs w:val="22"/>
              </w:rPr>
            </w:pPr>
            <w:r>
              <w:rPr>
                <w:rFonts w:hint="eastAsia" w:ascii="宋体" w:hAnsi="宋体"/>
                <w:b/>
                <w:sz w:val="22"/>
                <w:szCs w:val="22"/>
              </w:rPr>
              <w:t>不一致情况：</w:t>
            </w:r>
          </w:p>
          <w:p>
            <w:pPr>
              <w:snapToGrid w:val="0"/>
              <w:spacing w:line="276" w:lineRule="auto"/>
              <w:jc w:val="left"/>
              <w:rPr>
                <w:rFonts w:hint="eastAsia" w:ascii="宋体" w:hAnsi="宋体"/>
                <w:b/>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2021.11.29</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金梅淡">
    <w:panose1 w:val="02010609000101010101"/>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63C2B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614</Characters>
  <Lines>5</Lines>
  <Paragraphs>1</Paragraphs>
  <TotalTime>5</TotalTime>
  <ScaleCrop>false</ScaleCrop>
  <LinksUpToDate>false</LinksUpToDate>
  <CharactersWithSpaces>720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2021-11-25T08:49:18Z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2052-11.1.0.10314</vt:lpwstr>
  </property>
</Properties>
</file>