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1238-2021-QE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重庆铭庭包装印刷有限公司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重庆铭庭包装印刷有限公司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重庆市江津区双福街道祥福大道66号附1号1#厂房1楼、4楼、5楼</w:t>
            </w:r>
            <w:bookmarkEnd w:id="6"/>
          </w:p>
        </w:tc>
        <w:tc>
          <w:tcPr>
            <w:tcW w:w="1242" w:type="dxa"/>
            <w:vMerge w:val="restart"/>
            <w:vAlign w:val="center"/>
          </w:tcPr>
          <w:p>
            <w:r>
              <w:rPr>
                <w:rFonts w:hint="eastAsia"/>
              </w:rPr>
              <w:t>邮编</w:t>
            </w:r>
          </w:p>
        </w:tc>
        <w:tc>
          <w:tcPr>
            <w:tcW w:w="1771" w:type="dxa"/>
          </w:tcPr>
          <w:p>
            <w:bookmarkStart w:id="7" w:name="注册邮编"/>
            <w:r>
              <w:t>402247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重庆市江津区双福街道祥福大道66号附1号1#厂房1楼、4楼、5楼</w:t>
            </w:r>
            <w:bookmarkEnd w:id="8"/>
          </w:p>
        </w:tc>
        <w:tc>
          <w:tcPr>
            <w:tcW w:w="1242" w:type="dxa"/>
            <w:vMerge w:val="continue"/>
            <w:vAlign w:val="center"/>
          </w:tcPr>
          <w:p/>
        </w:tc>
        <w:tc>
          <w:tcPr>
            <w:tcW w:w="1771" w:type="dxa"/>
          </w:tcPr>
          <w:p>
            <w:bookmarkStart w:id="9" w:name="办公邮编"/>
            <w:r>
              <w:t>402247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杨天丽</w:t>
            </w:r>
            <w:bookmarkEnd w:id="10"/>
          </w:p>
        </w:tc>
        <w:tc>
          <w:tcPr>
            <w:tcW w:w="1313" w:type="dxa"/>
            <w:vAlign w:val="center"/>
          </w:tcPr>
          <w:p>
            <w:r>
              <w:rPr>
                <w:rFonts w:hint="eastAsia"/>
              </w:rPr>
              <w:t>电话.</w:t>
            </w:r>
          </w:p>
        </w:tc>
        <w:tc>
          <w:tcPr>
            <w:tcW w:w="2180" w:type="dxa"/>
            <w:vAlign w:val="center"/>
          </w:tcPr>
          <w:p>
            <w:bookmarkStart w:id="11" w:name="联系人电话"/>
            <w:r>
              <w:t>13640554890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刘华勇</w:t>
            </w:r>
            <w:bookmarkEnd w:id="13"/>
          </w:p>
        </w:tc>
        <w:tc>
          <w:tcPr>
            <w:tcW w:w="1313" w:type="dxa"/>
            <w:vAlign w:val="center"/>
          </w:tcPr>
          <w:p>
            <w:r>
              <w:rPr>
                <w:rFonts w:hint="eastAsia"/>
              </w:rPr>
              <w:t>管理者代表</w:t>
            </w:r>
          </w:p>
        </w:tc>
        <w:tc>
          <w:tcPr>
            <w:tcW w:w="2180" w:type="dxa"/>
          </w:tcPr>
          <w:p>
            <w:bookmarkStart w:id="14" w:name="管理者代表"/>
            <w:r>
              <w:t>杨天丽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不干胶标签的生产工艺流程：</w:t>
            </w:r>
          </w:p>
          <w:p>
            <w:pPr>
              <w:rPr>
                <w:rFonts w:hint="eastAsia"/>
              </w:rPr>
            </w:pPr>
            <w:r>
              <w:rPr>
                <w:rFonts w:hint="eastAsia"/>
              </w:rPr>
              <w:t>原材料检验---印刷---模切/烫金/覆膜--分条--检验包装--入库</w:t>
            </w:r>
          </w:p>
          <w:p>
            <w:pPr>
              <w:rPr>
                <w:rFonts w:hint="eastAsia"/>
              </w:rPr>
            </w:pPr>
            <w:r>
              <w:rPr>
                <w:rFonts w:hint="eastAsia"/>
              </w:rPr>
              <w:t>其中印刷、烫金/覆膜、分条按客户技术要求，在需要时增减该工序。</w:t>
            </w:r>
          </w:p>
          <w:p>
            <w:pPr>
              <w:rPr>
                <w:rFonts w:hint="eastAsia"/>
              </w:rPr>
            </w:pPr>
            <w:r>
              <w:rPr>
                <w:rFonts w:hint="eastAsia"/>
              </w:rPr>
              <w:t>包装装潢印刷品销售流程：</w:t>
            </w:r>
          </w:p>
          <w:p>
            <w:pPr>
              <w:rPr>
                <w:rFonts w:hint="eastAsia" w:eastAsia="宋体"/>
                <w:lang w:eastAsia="zh-CN"/>
              </w:rPr>
            </w:pPr>
            <w:r>
              <w:rPr>
                <w:rFonts w:hint="eastAsia"/>
              </w:rPr>
              <w:t>业务洽谈—合同签订—采购产品—产品检验—交付客户—售后服务</w:t>
            </w:r>
            <w:r>
              <w:rPr>
                <w:rFonts w:hint="eastAsia"/>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2021年11月28日 上午至2021年11月28日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Q：不干胶标签的生产、包装装潢印刷品销售</w:t>
            </w:r>
          </w:p>
          <w:p>
            <w:r>
              <w:t>E：不干胶标签的生产、包装装潢印刷品销售所涉及场所的相关环境管理活动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Q：07.02.05;29.12.00</w:t>
            </w:r>
          </w:p>
          <w:p>
            <w:r>
              <w:t>E：07.02.05;29.12.00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ascii="Times New Roman" w:hAnsi="Times New Roman" w:eastAsia="宋体" w:cs="Times New Roman"/>
                <w:color w:val="000000"/>
                <w:szCs w:val="18"/>
                <w:lang w:val="en-US" w:eastAsia="zh-CN"/>
              </w:rPr>
              <w:t>2021年1月6日</w:t>
            </w:r>
            <w:r>
              <w:rPr>
                <w:rFonts w:hint="eastAsia" w:ascii="Times New Roman" w:hAnsi="Times New Roman" w:eastAsia="宋体" w:cs="Times New Roman"/>
                <w:color w:val="000000"/>
                <w:szCs w:val="18"/>
              </w:rPr>
              <w:t xml:space="preserve"> </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lang w:val="de-DE" w:eastAsia="ja-JP"/>
              </w:rPr>
            </w:pPr>
            <w:r>
              <w:rPr>
                <w:sz w:val="21"/>
                <w:szCs w:val="21"/>
              </w:rPr>
              <w:t>重庆铭庭包装印刷有限公司</w:t>
            </w:r>
            <w:r>
              <w:rPr>
                <w:rFonts w:hint="eastAsia"/>
                <w:sz w:val="21"/>
                <w:szCs w:val="21"/>
                <w:lang w:val="en-US" w:eastAsia="zh-CN"/>
              </w:rPr>
              <w:t>/</w:t>
            </w:r>
            <w:r>
              <w:rPr>
                <w:sz w:val="21"/>
                <w:szCs w:val="21"/>
              </w:rPr>
              <w:t>重庆市江津区双福街道祥福大道66号附1号1#厂房1楼、4楼、5楼</w:t>
            </w:r>
          </w:p>
        </w:tc>
        <w:tc>
          <w:tcPr>
            <w:tcW w:w="2267" w:type="dxa"/>
            <w:vAlign w:val="top"/>
          </w:tcPr>
          <w:p>
            <w:pPr>
              <w:spacing w:before="40" w:after="40"/>
              <w:rPr>
                <w:lang w:val="de-DE" w:eastAsia="ja-JP"/>
              </w:rPr>
            </w:pPr>
            <w:r>
              <w:rPr>
                <w:sz w:val="21"/>
                <w:szCs w:val="21"/>
              </w:rPr>
              <w:t>重庆市江津区双福街道祥福大道66号附1号1#厂房1楼、4楼、5楼</w:t>
            </w:r>
          </w:p>
        </w:tc>
        <w:tc>
          <w:tcPr>
            <w:tcW w:w="571" w:type="dxa"/>
            <w:vAlign w:val="center"/>
          </w:tcPr>
          <w:p>
            <w:pPr>
              <w:spacing w:before="40" w:after="40"/>
              <w:rPr>
                <w:lang w:eastAsia="ja-JP"/>
              </w:rPr>
            </w:pPr>
            <w:r>
              <w:rPr>
                <w:rFonts w:hint="eastAsia" w:eastAsia="黑体"/>
                <w:szCs w:val="21"/>
                <w:lang w:val="en-US" w:eastAsia="zh-CN"/>
              </w:rPr>
              <w:t>24</w:t>
            </w:r>
          </w:p>
        </w:tc>
        <w:tc>
          <w:tcPr>
            <w:tcW w:w="2803" w:type="dxa"/>
            <w:vAlign w:val="center"/>
          </w:tcPr>
          <w:p>
            <w:pPr>
              <w:pStyle w:val="20"/>
              <w:rPr>
                <w:lang w:eastAsia="ja-JP"/>
              </w:rPr>
            </w:pPr>
            <w:r>
              <w:t>不干胶标签的生产、包装装潢印刷品销售</w:t>
            </w:r>
          </w:p>
        </w:tc>
        <w:tc>
          <w:tcPr>
            <w:tcW w:w="669" w:type="dxa"/>
            <w:vAlign w:val="center"/>
          </w:tcPr>
          <w:p>
            <w:pPr>
              <w:spacing w:before="40" w:after="40"/>
              <w:rPr>
                <w:lang w:eastAsia="ja-JP"/>
              </w:rPr>
            </w:pPr>
            <w:r>
              <w:rPr>
                <w:rFonts w:hint="eastAsia" w:ascii="宋体" w:hAnsi="宋体"/>
                <w:b/>
                <w:sz w:val="21"/>
                <w:szCs w:val="21"/>
              </w:rPr>
              <w:t>GB/T19001-2016</w:t>
            </w:r>
          </w:p>
        </w:tc>
        <w:tc>
          <w:tcPr>
            <w:tcW w:w="668" w:type="dxa"/>
            <w:shd w:val="clear" w:color="auto" w:fill="FFFFFF"/>
            <w:vAlign w:val="top"/>
          </w:tcPr>
          <w:p>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lang w:eastAsia="ja-JP"/>
              </w:rPr>
            </w:pPr>
            <w:r>
              <w:rPr>
                <w:rFonts w:eastAsia="黑体"/>
                <w:szCs w:val="21"/>
                <w:lang w:eastAsia="ja-JP"/>
              </w:rPr>
              <w:t>02</w:t>
            </w:r>
          </w:p>
        </w:tc>
        <w:tc>
          <w:tcPr>
            <w:tcW w:w="2267" w:type="dxa"/>
            <w:vAlign w:val="top"/>
          </w:tcPr>
          <w:p>
            <w:pPr>
              <w:spacing w:before="40" w:after="40"/>
              <w:rPr>
                <w:lang w:eastAsia="ja-JP"/>
              </w:rPr>
            </w:pPr>
            <w:r>
              <w:rPr>
                <w:sz w:val="21"/>
                <w:szCs w:val="21"/>
              </w:rPr>
              <w:t>重庆铭庭包装印刷有限公司</w:t>
            </w:r>
            <w:r>
              <w:rPr>
                <w:rFonts w:hint="eastAsia"/>
                <w:sz w:val="21"/>
                <w:szCs w:val="21"/>
                <w:lang w:val="en-US" w:eastAsia="zh-CN"/>
              </w:rPr>
              <w:t>/</w:t>
            </w:r>
            <w:r>
              <w:rPr>
                <w:sz w:val="21"/>
                <w:szCs w:val="21"/>
              </w:rPr>
              <w:t>重庆市江津区双福街道祥福大道66号附1号1#厂房1楼、4楼、5楼</w:t>
            </w:r>
          </w:p>
        </w:tc>
        <w:tc>
          <w:tcPr>
            <w:tcW w:w="2267" w:type="dxa"/>
            <w:vAlign w:val="top"/>
          </w:tcPr>
          <w:p>
            <w:pPr>
              <w:spacing w:before="40" w:after="40"/>
              <w:rPr>
                <w:lang w:eastAsia="ja-JP"/>
              </w:rPr>
            </w:pPr>
            <w:r>
              <w:rPr>
                <w:sz w:val="21"/>
                <w:szCs w:val="21"/>
              </w:rPr>
              <w:t>重庆市江津区双福街道祥福大道66号附1号1#厂房1楼、4楼、5楼</w:t>
            </w:r>
          </w:p>
        </w:tc>
        <w:tc>
          <w:tcPr>
            <w:tcW w:w="571" w:type="dxa"/>
            <w:vAlign w:val="center"/>
          </w:tcPr>
          <w:p>
            <w:pPr>
              <w:spacing w:before="40" w:after="40"/>
              <w:rPr>
                <w:lang w:eastAsia="ja-JP"/>
              </w:rPr>
            </w:pPr>
            <w:r>
              <w:rPr>
                <w:rFonts w:hint="eastAsia" w:eastAsia="黑体"/>
                <w:szCs w:val="21"/>
                <w:lang w:val="en-US" w:eastAsia="zh-CN"/>
              </w:rPr>
              <w:t>24</w:t>
            </w:r>
          </w:p>
        </w:tc>
        <w:tc>
          <w:tcPr>
            <w:tcW w:w="2803" w:type="dxa"/>
            <w:vAlign w:val="center"/>
          </w:tcPr>
          <w:p>
            <w:pPr>
              <w:spacing w:before="40" w:after="40"/>
              <w:rPr>
                <w:lang w:eastAsia="ja-JP"/>
              </w:rPr>
            </w:pPr>
            <w:r>
              <w:t>不干胶标签的生产、包装装潢印刷品销售所涉及场所的相关环境管理活动</w:t>
            </w:r>
          </w:p>
        </w:tc>
        <w:tc>
          <w:tcPr>
            <w:tcW w:w="669" w:type="dxa"/>
            <w:vAlign w:val="center"/>
          </w:tcPr>
          <w:p>
            <w:pPr>
              <w:spacing w:before="40" w:after="40"/>
              <w:rPr>
                <w:lang w:eastAsia="ja-JP"/>
              </w:rPr>
            </w:pPr>
            <w:r>
              <w:rPr>
                <w:rFonts w:hint="eastAsia" w:ascii="宋体" w:hAnsi="宋体"/>
                <w:b/>
                <w:sz w:val="21"/>
                <w:szCs w:val="21"/>
              </w:rPr>
              <w:t>GB/T24001-2016</w:t>
            </w:r>
          </w:p>
        </w:tc>
        <w:tc>
          <w:tcPr>
            <w:tcW w:w="668" w:type="dxa"/>
            <w:shd w:val="clear" w:color="auto" w:fill="FFFFFF"/>
            <w:vAlign w:val="top"/>
          </w:tcPr>
          <w:p>
            <w:r>
              <w:rPr>
                <w:rFonts w:hint="default"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2019-N1QMS-3093566</w:t>
            </w:r>
          </w:p>
          <w:p>
            <w:r>
              <w:t>2021-N1EMS-3093566</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Q:07.02.05,29.12.00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蒲春梅</w:t>
            </w:r>
          </w:p>
        </w:tc>
        <w:tc>
          <w:tcPr>
            <w:tcW w:w="1089" w:type="dxa"/>
            <w:vAlign w:val="center"/>
          </w:tcPr>
          <w:p>
            <w:r>
              <w:t>组员</w:t>
            </w:r>
          </w:p>
        </w:tc>
        <w:tc>
          <w:tcPr>
            <w:tcW w:w="711" w:type="dxa"/>
            <w:vAlign w:val="center"/>
          </w:tcPr>
          <w:p>
            <w:r>
              <w:t>女</w:t>
            </w:r>
          </w:p>
        </w:tc>
        <w:tc>
          <w:tcPr>
            <w:tcW w:w="3870" w:type="dxa"/>
            <w:vAlign w:val="center"/>
          </w:tcPr>
          <w:p>
            <w:r>
              <w:t>ISC-JSZJ-428</w:t>
            </w:r>
          </w:p>
          <w:p>
            <w:r>
              <w:t>ISC-JSZJ-428</w:t>
            </w:r>
          </w:p>
          <w:p>
            <w:r>
              <w:t>重庆新海彩印有限公司</w:t>
            </w:r>
          </w:p>
        </w:tc>
        <w:tc>
          <w:tcPr>
            <w:tcW w:w="2179" w:type="dxa"/>
            <w:vAlign w:val="center"/>
          </w:tcPr>
          <w:p>
            <w:r>
              <w:t>Q:07.02.05</w:t>
            </w:r>
          </w:p>
          <w:p>
            <w:r>
              <w:t>E:07.02.05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蒲春梅</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r>
              <w:t>重庆新海彩印有限公司</w:t>
            </w:r>
          </w:p>
        </w:tc>
        <w:tc>
          <w:tcPr>
            <w:tcW w:w="2179" w:type="dxa"/>
            <w:vAlign w:val="center"/>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ascii="宋体" w:hAnsi="宋体" w:cs="宋体"/>
                <w:color w:val="auto"/>
                <w:sz w:val="21"/>
                <w:szCs w:val="21"/>
                <w:highlight w:val="none"/>
              </w:rPr>
              <w:t>一阶段审核</w:t>
            </w:r>
            <w:r>
              <w:rPr>
                <w:rFonts w:hint="eastAsia" w:ascii="宋体" w:hAnsi="宋体" w:cs="宋体"/>
                <w:color w:val="auto"/>
                <w:sz w:val="21"/>
                <w:szCs w:val="21"/>
                <w:highlight w:val="none"/>
                <w:lang w:eastAsia="zh-CN"/>
              </w:rPr>
              <w:t>发现</w:t>
            </w:r>
            <w:r>
              <w:rPr>
                <w:rFonts w:hint="eastAsia" w:ascii="宋体" w:hAnsi="宋体" w:cs="宋体"/>
                <w:color w:val="auto"/>
                <w:sz w:val="21"/>
                <w:szCs w:val="21"/>
                <w:highlight w:val="none"/>
                <w:lang w:val="en-US" w:eastAsia="zh-CN"/>
              </w:rPr>
              <w:t>钢直尺</w:t>
            </w:r>
            <w:r>
              <w:rPr>
                <w:rFonts w:hint="eastAsia" w:ascii="宋体" w:hAnsi="宋体" w:cs="宋体"/>
                <w:color w:val="auto"/>
                <w:sz w:val="21"/>
                <w:szCs w:val="21"/>
                <w:highlight w:val="none"/>
                <w:lang w:eastAsia="zh-CN"/>
              </w:rPr>
              <w:t>未</w:t>
            </w:r>
            <w:r>
              <w:rPr>
                <w:rFonts w:hint="eastAsia" w:ascii="宋体" w:hAnsi="宋体" w:cs="宋体"/>
                <w:color w:val="auto"/>
                <w:sz w:val="21"/>
                <w:szCs w:val="21"/>
                <w:highlight w:val="none"/>
                <w:lang w:val="en-US" w:eastAsia="zh-CN"/>
              </w:rPr>
              <w:t>按期检定或校准</w:t>
            </w:r>
            <w:r>
              <w:rPr>
                <w:rFonts w:hint="eastAsia" w:ascii="宋体" w:hAnsi="宋体" w:cs="宋体"/>
                <w:color w:val="auto"/>
                <w:sz w:val="21"/>
                <w:szCs w:val="21"/>
                <w:highlight w:val="none"/>
                <w:lang w:eastAsia="zh-CN"/>
              </w:rPr>
              <w:t>，未得到改善</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default"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不干胶标签的生产、包装装潢印刷品销售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不干胶标签的生产、包装装潢印刷品销售所涉及场所的相关环境管理活动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464185</wp:posOffset>
                  </wp:positionH>
                  <wp:positionV relativeFrom="paragraph">
                    <wp:posOffset>94615</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2021.11.28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以质为本、诚信经营、顾客满意、持续改进、以及认真仔细，快速响应，坚守承诺，精益求精,为顾客提供优质的产品</w:t>
            </w:r>
            <w:r>
              <w:rPr>
                <w:rFonts w:hint="eastAsia" w:ascii="Times New Roman" w:hAnsi="Times New Roman" w:eastAsia="宋体" w:cs="Times New Roman"/>
                <w:color w:val="000000"/>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color w:val="000000"/>
                      <w:szCs w:val="18"/>
                    </w:rPr>
                    <w:t>生产计划按时完成率：≥98%</w:t>
                  </w:r>
                </w:p>
              </w:tc>
              <w:tc>
                <w:tcPr>
                  <w:tcW w:w="3136" w:type="dxa"/>
                  <w:shd w:val="clear" w:color="auto" w:fill="auto"/>
                  <w:vAlign w:val="top"/>
                </w:tcPr>
                <w:p>
                  <w:pPr>
                    <w:widowControl/>
                    <w:spacing w:before="40"/>
                    <w:jc w:val="left"/>
                    <w:rPr>
                      <w:sz w:val="21"/>
                      <w:szCs w:val="21"/>
                      <w:highlight w:val="none"/>
                      <w:lang w:val="en-GB"/>
                    </w:rPr>
                  </w:pPr>
                  <w:r>
                    <w:rPr>
                      <w:rFonts w:hint="eastAsia" w:ascii="宋体" w:hAnsi="宋体"/>
                      <w:sz w:val="21"/>
                      <w:szCs w:val="21"/>
                      <w:lang w:val="en-US" w:eastAsia="zh-CN"/>
                    </w:rPr>
                    <w:t>生产完成</w:t>
                  </w:r>
                  <w:r>
                    <w:rPr>
                      <w:rFonts w:hint="eastAsia" w:ascii="宋体" w:hAnsi="宋体"/>
                      <w:sz w:val="21"/>
                      <w:szCs w:val="21"/>
                    </w:rPr>
                    <w:t>数/</w:t>
                  </w:r>
                  <w:r>
                    <w:rPr>
                      <w:rFonts w:hint="eastAsia" w:ascii="宋体" w:hAnsi="宋体"/>
                      <w:sz w:val="21"/>
                      <w:szCs w:val="21"/>
                      <w:lang w:val="en-US" w:eastAsia="zh-CN"/>
                    </w:rPr>
                    <w:t>生产计划</w:t>
                  </w:r>
                  <w:r>
                    <w:rPr>
                      <w:rFonts w:hint="eastAsia" w:ascii="宋体" w:hAnsi="宋体"/>
                      <w:sz w:val="21"/>
                      <w:szCs w:val="21"/>
                    </w:rPr>
                    <w:t>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color w:val="000000"/>
                      <w:szCs w:val="18"/>
                    </w:rPr>
                    <w:t>顾客满意度≥90%，并逐年上升</w:t>
                  </w:r>
                </w:p>
              </w:tc>
              <w:tc>
                <w:tcPr>
                  <w:tcW w:w="3136" w:type="dxa"/>
                  <w:shd w:val="clear" w:color="auto" w:fill="auto"/>
                  <w:vAlign w:val="top"/>
                </w:tcPr>
                <w:p>
                  <w:pPr>
                    <w:widowControl/>
                    <w:spacing w:before="40"/>
                    <w:jc w:val="left"/>
                    <w:rPr>
                      <w:rFonts w:ascii="宋体" w:hAnsi="宋体"/>
                      <w:sz w:val="21"/>
                      <w:szCs w:val="21"/>
                      <w:highlight w:val="none"/>
                    </w:rPr>
                  </w:pPr>
                  <w:r>
                    <w:rPr>
                      <w:rFonts w:hint="eastAsia" w:ascii="宋体" w:hAnsi="宋体"/>
                      <w:sz w:val="21"/>
                      <w:szCs w:val="21"/>
                      <w:highlight w:val="none"/>
                      <w:lang w:eastAsia="zh-CN"/>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供销部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2662</w:t>
            </w:r>
            <w:r>
              <w:rPr>
                <w:rFonts w:hint="eastAsia" w:ascii="Times New Roman" w:hAnsi="Times New Roman" w:eastAsia="宋体" w:cs="Times New Roman"/>
              </w:rPr>
              <w:t xml:space="preserve">平方米；生产车间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个；实验室  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ascii="Times New Roman" w:hAnsi="Times New Roman" w:eastAsia="宋体" w:cs="Times New Roman"/>
              </w:rPr>
              <w:t>主要生产设备有：办公设备（电脑、打印机、复</w:t>
            </w:r>
            <w:r>
              <w:rPr>
                <w:rFonts w:hint="eastAsia" w:ascii="Times New Roman" w:hAnsi="Times New Roman" w:eastAsia="宋体" w:cs="Times New Roman"/>
                <w:lang w:eastAsia="zh-CN"/>
              </w:rPr>
              <w:t>印机等）、</w:t>
            </w:r>
            <w:r>
              <w:rPr>
                <w:rFonts w:hint="eastAsia" w:ascii="Times New Roman" w:hAnsi="Times New Roman" w:eastAsia="宋体" w:cs="Times New Roman"/>
                <w:lang w:val="en-US" w:eastAsia="zh-CN"/>
              </w:rPr>
              <w:t>生产设备</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间隔轮转机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全自动高速商标模切机</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全自动模切机、全自动不干胶商标模切机、制版机、自动分切机、品检机等</w:t>
            </w:r>
            <w:r>
              <w:rPr>
                <w:rFonts w:hint="eastAsia" w:ascii="Times New Roman" w:hAnsi="Times New Roman" w:eastAsia="宋体" w:cs="Times New Roman"/>
                <w:lang w:eastAsia="zh-CN"/>
              </w:rPr>
              <w:t>）</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u w:val="single"/>
                <w:lang w:val="en-US" w:eastAsia="zh-CN"/>
              </w:rPr>
              <w:t>钢直尺</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highlight w:val="none"/>
                <w:lang w:eastAsia="zh-CN"/>
              </w:rPr>
              <w:t>■</w:t>
            </w:r>
            <w:r>
              <w:rPr>
                <w:rFonts w:hint="eastAsia"/>
                <w:highlight w:val="none"/>
              </w:rPr>
              <w:t>未进行定期校准/检定的有：</w:t>
            </w:r>
            <w:r>
              <w:rPr>
                <w:rFonts w:hint="eastAsia"/>
                <w:highlight w:val="none"/>
                <w:lang w:val="en-US" w:eastAsia="zh-CN"/>
              </w:rPr>
              <w:t>钢直尺，已开具不符合报告，需整改。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highlight w:val="none"/>
              </w:rPr>
            </w:pPr>
            <w:r>
              <w:rPr>
                <w:rFonts w:hint="eastAsia"/>
              </w:rPr>
              <w:t xml:space="preserve">产品和服务要求为：  </w:t>
            </w:r>
            <w:r>
              <w:rPr>
                <w:rFonts w:hint="eastAsia" w:ascii="Wingdings" w:hAnsi="Wingdings"/>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不干胶标签的生产、包装装潢印刷品销售</w:t>
                  </w:r>
                </w:p>
              </w:tc>
              <w:tc>
                <w:tcPr>
                  <w:tcW w:w="3665" w:type="dxa"/>
                </w:tcPr>
                <w:p>
                  <w:pPr>
                    <w:shd w:val="clear" w:color="auto" w:fill="C7DAF1" w:themeFill="text2" w:themeFillTint="32"/>
                    <w:jc w:val="left"/>
                    <w:rPr>
                      <w:rFonts w:hint="default" w:eastAsia="宋体"/>
                      <w:u w:val="none"/>
                      <w:lang w:val="en-US" w:eastAsia="zh-CN"/>
                    </w:rPr>
                  </w:pPr>
                  <w:r>
                    <w:rPr>
                      <w:rFonts w:hint="eastAsia" w:cs="Times New Roman"/>
                      <w:color w:val="000000"/>
                      <w:u w:val="none"/>
                      <w:lang w:val="en-US" w:eastAsia="zh-CN"/>
                    </w:rPr>
                    <w:t>印刷、销售过程</w:t>
                  </w:r>
                </w:p>
              </w:tc>
              <w:tc>
                <w:tcPr>
                  <w:tcW w:w="3265" w:type="dxa"/>
                </w:tcPr>
                <w:p>
                  <w:pPr>
                    <w:shd w:val="clear" w:color="auto" w:fill="C7DAF1" w:themeFill="text2" w:themeFillTint="32"/>
                    <w:jc w:val="left"/>
                    <w:rPr>
                      <w:rFonts w:hint="default" w:eastAsiaTheme="minorEastAsia"/>
                      <w:u w:val="none"/>
                      <w:lang w:val="en-US" w:eastAsia="zh-CN"/>
                    </w:rPr>
                  </w:pPr>
                  <w:r>
                    <w:rPr>
                      <w:rFonts w:hint="eastAsia"/>
                      <w:color w:val="000000"/>
                      <w:u w:val="none"/>
                      <w:lang w:val="en-US" w:eastAsia="zh-CN"/>
                    </w:rPr>
                    <w:t>图文清晰度；交付时间、售后服务等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u w:val="single"/>
                <w:lang w:val="en-US" w:eastAsia="zh-CN"/>
              </w:rPr>
              <w:t xml:space="preserve"> 印刷和销售过程过程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已发生的更改包括：</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重要原材料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设备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检测设备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图纸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工艺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加工场所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C7DAF1" w:themeFill="text2" w:themeFillTint="32"/>
            </w:pPr>
            <w:r>
              <w:rPr>
                <w:rFonts w:hint="eastAsia" w:ascii="Times New Roman" w:hAnsi="Times New Roman" w:eastAsia="宋体" w:cs="Times New Roman"/>
              </w:rPr>
              <w:t>变更控制：</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符合要求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 xml:space="preserve"> 月 </w:t>
            </w:r>
            <w:r>
              <w:rPr>
                <w:rFonts w:hint="eastAsia"/>
                <w:u w:val="single"/>
                <w:lang w:val="en-US" w:eastAsia="zh-CN"/>
              </w:rPr>
              <w:t>11日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9</w:t>
            </w:r>
            <w:r>
              <w:rPr>
                <w:rFonts w:hint="eastAsia"/>
                <w:u w:val="single"/>
              </w:rPr>
              <w:t xml:space="preserve"> 月 </w:t>
            </w:r>
            <w:r>
              <w:rPr>
                <w:rFonts w:hint="eastAsia"/>
                <w:u w:val="single"/>
                <w:lang w:val="en-US" w:eastAsia="zh-CN"/>
              </w:rPr>
              <w:t>25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4.1</w:t>
            </w:r>
          </w:p>
        </w:tc>
        <w:tc>
          <w:tcPr>
            <w:tcW w:w="650" w:type="dxa"/>
            <w:vAlign w:val="center"/>
          </w:tcPr>
          <w:p>
            <w:pPr>
              <w:shd w:val="clear" w:color="auto" w:fill="C7DAF1" w:themeFill="text2" w:themeFillTint="32"/>
              <w:rPr>
                <w:lang w:eastAsia="ja-JP"/>
              </w:rPr>
            </w:pPr>
            <w:r>
              <w:rPr>
                <w:rFonts w:hint="eastAsia"/>
                <w:highlight w:val="none"/>
              </w:rPr>
              <w:t>4.2</w:t>
            </w:r>
          </w:p>
        </w:tc>
        <w:tc>
          <w:tcPr>
            <w:tcW w:w="650" w:type="dxa"/>
            <w:vAlign w:val="center"/>
          </w:tcPr>
          <w:p>
            <w:pPr>
              <w:shd w:val="clear" w:color="auto" w:fill="C7DAF1" w:themeFill="text2" w:themeFillTint="32"/>
              <w:rPr>
                <w:lang w:eastAsia="ja-JP"/>
              </w:rPr>
            </w:pPr>
            <w:r>
              <w:rPr>
                <w:rFonts w:hint="eastAsia"/>
                <w:highlight w:val="none"/>
              </w:rPr>
              <w:t>4.3</w:t>
            </w:r>
          </w:p>
        </w:tc>
        <w:tc>
          <w:tcPr>
            <w:tcW w:w="649" w:type="dxa"/>
            <w:vAlign w:val="center"/>
          </w:tcPr>
          <w:p>
            <w:pPr>
              <w:shd w:val="clear" w:color="auto" w:fill="C7DAF1" w:themeFill="text2" w:themeFillTint="32"/>
              <w:rPr>
                <w:lang w:eastAsia="ja-JP"/>
              </w:rPr>
            </w:pPr>
            <w:r>
              <w:rPr>
                <w:rFonts w:hint="eastAsia"/>
                <w:highlight w:val="none"/>
              </w:rPr>
              <w:t>4.4</w:t>
            </w:r>
          </w:p>
        </w:tc>
        <w:tc>
          <w:tcPr>
            <w:tcW w:w="650" w:type="dxa"/>
            <w:vAlign w:val="center"/>
          </w:tcPr>
          <w:p>
            <w:pPr>
              <w:shd w:val="clear" w:color="auto" w:fill="C7DAF1" w:themeFill="text2" w:themeFillTint="32"/>
              <w:rPr>
                <w:lang w:eastAsia="ja-JP"/>
              </w:rPr>
            </w:pPr>
            <w:r>
              <w:rPr>
                <w:rFonts w:hint="eastAsia"/>
                <w:highlight w:val="none"/>
              </w:rPr>
              <w:t>5.1</w:t>
            </w:r>
          </w:p>
        </w:tc>
        <w:tc>
          <w:tcPr>
            <w:tcW w:w="650" w:type="dxa"/>
            <w:vAlign w:val="center"/>
          </w:tcPr>
          <w:p>
            <w:pPr>
              <w:shd w:val="clear" w:color="auto" w:fill="C7DAF1" w:themeFill="text2" w:themeFillTint="32"/>
              <w:rPr>
                <w:lang w:eastAsia="ja-JP"/>
              </w:rPr>
            </w:pPr>
            <w:r>
              <w:rPr>
                <w:rFonts w:hint="eastAsia"/>
                <w:highlight w:val="none"/>
              </w:rPr>
              <w:t>5.2</w:t>
            </w:r>
          </w:p>
        </w:tc>
        <w:tc>
          <w:tcPr>
            <w:tcW w:w="649" w:type="dxa"/>
            <w:vAlign w:val="center"/>
          </w:tcPr>
          <w:p>
            <w:pPr>
              <w:shd w:val="clear" w:color="auto" w:fill="C7DAF1" w:themeFill="text2" w:themeFillTint="32"/>
              <w:rPr>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highlight w:val="none"/>
              </w:rPr>
              <w:t>6.1</w:t>
            </w:r>
          </w:p>
        </w:tc>
        <w:tc>
          <w:tcPr>
            <w:tcW w:w="650" w:type="dxa"/>
            <w:vAlign w:val="center"/>
          </w:tcPr>
          <w:p>
            <w:pPr>
              <w:shd w:val="clear" w:color="auto" w:fill="C7DAF1" w:themeFill="text2" w:themeFillTint="32"/>
              <w:rPr>
                <w:lang w:eastAsia="ja-JP"/>
              </w:rPr>
            </w:pPr>
            <w:r>
              <w:rPr>
                <w:rFonts w:hint="eastAsia"/>
                <w:highlight w:val="none"/>
              </w:rPr>
              <w:t>6.2</w:t>
            </w:r>
          </w:p>
        </w:tc>
        <w:tc>
          <w:tcPr>
            <w:tcW w:w="649" w:type="dxa"/>
            <w:vAlign w:val="center"/>
          </w:tcPr>
          <w:p>
            <w:pPr>
              <w:shd w:val="clear" w:color="auto" w:fill="C7DAF1" w:themeFill="text2" w:themeFillTint="32"/>
              <w:rPr>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7.1</w:t>
            </w:r>
          </w:p>
        </w:tc>
        <w:tc>
          <w:tcPr>
            <w:tcW w:w="650" w:type="dxa"/>
            <w:vAlign w:val="center"/>
          </w:tcPr>
          <w:p>
            <w:pPr>
              <w:shd w:val="clear" w:color="auto" w:fill="C7DAF1" w:themeFill="text2" w:themeFillTint="32"/>
              <w:rPr>
                <w:lang w:eastAsia="ja-JP"/>
              </w:rPr>
            </w:pPr>
            <w:r>
              <w:rPr>
                <w:rFonts w:hint="eastAsia"/>
                <w:highlight w:val="none"/>
              </w:rPr>
              <w:t>7.2</w:t>
            </w:r>
          </w:p>
        </w:tc>
        <w:tc>
          <w:tcPr>
            <w:tcW w:w="650" w:type="dxa"/>
            <w:vAlign w:val="center"/>
          </w:tcPr>
          <w:p>
            <w:pPr>
              <w:shd w:val="clear" w:color="auto" w:fill="C7DAF1" w:themeFill="text2" w:themeFillTint="32"/>
              <w:rPr>
                <w:lang w:eastAsia="ja-JP"/>
              </w:rPr>
            </w:pPr>
            <w:r>
              <w:rPr>
                <w:rFonts w:hint="eastAsia"/>
                <w:highlight w:val="none"/>
              </w:rPr>
              <w:t>7.3</w:t>
            </w:r>
          </w:p>
        </w:tc>
        <w:tc>
          <w:tcPr>
            <w:tcW w:w="649" w:type="dxa"/>
            <w:vAlign w:val="center"/>
          </w:tcPr>
          <w:p>
            <w:pPr>
              <w:shd w:val="clear" w:color="auto" w:fill="C7DAF1" w:themeFill="text2" w:themeFillTint="32"/>
              <w:rPr>
                <w:lang w:eastAsia="ja-JP"/>
              </w:rPr>
            </w:pPr>
            <w:r>
              <w:rPr>
                <w:rFonts w:hint="eastAsia"/>
                <w:highlight w:val="none"/>
              </w:rPr>
              <w:t>7.4</w:t>
            </w:r>
          </w:p>
        </w:tc>
        <w:tc>
          <w:tcPr>
            <w:tcW w:w="650" w:type="dxa"/>
            <w:vAlign w:val="center"/>
          </w:tcPr>
          <w:p>
            <w:pPr>
              <w:shd w:val="clear" w:color="auto" w:fill="C7DAF1" w:themeFill="text2" w:themeFillTint="32"/>
              <w:rPr>
                <w:lang w:eastAsia="ja-JP"/>
              </w:rPr>
            </w:pPr>
            <w:r>
              <w:rPr>
                <w:rFonts w:hint="eastAsia"/>
                <w:highlight w:val="none"/>
              </w:rPr>
              <w:t>7.5</w:t>
            </w:r>
          </w:p>
        </w:tc>
        <w:tc>
          <w:tcPr>
            <w:tcW w:w="650" w:type="dxa"/>
            <w:vAlign w:val="center"/>
          </w:tcPr>
          <w:p>
            <w:pPr>
              <w:shd w:val="clear" w:color="auto" w:fill="C7DAF1" w:themeFill="text2" w:themeFillTint="32"/>
              <w:rPr>
                <w:lang w:eastAsia="ja-JP"/>
              </w:rPr>
            </w:pPr>
            <w:r>
              <w:rPr>
                <w:rFonts w:hint="eastAsia"/>
                <w:highlight w:val="none"/>
              </w:rPr>
              <w:t>8.1</w:t>
            </w:r>
          </w:p>
        </w:tc>
        <w:tc>
          <w:tcPr>
            <w:tcW w:w="649" w:type="dxa"/>
            <w:vAlign w:val="center"/>
          </w:tcPr>
          <w:p>
            <w:pPr>
              <w:shd w:val="clear" w:color="auto" w:fill="C7DAF1" w:themeFill="text2" w:themeFillTint="32"/>
              <w:rPr>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highlight w:val="none"/>
              </w:rPr>
              <w:t>8.3</w:t>
            </w:r>
          </w:p>
        </w:tc>
        <w:tc>
          <w:tcPr>
            <w:tcW w:w="650" w:type="dxa"/>
            <w:vAlign w:val="center"/>
          </w:tcPr>
          <w:p>
            <w:pPr>
              <w:shd w:val="clear" w:color="auto" w:fill="C7DAF1" w:themeFill="text2" w:themeFillTint="32"/>
              <w:rPr>
                <w:lang w:eastAsia="ja-JP"/>
              </w:rPr>
            </w:pPr>
            <w:r>
              <w:rPr>
                <w:rFonts w:hint="eastAsia"/>
                <w:highlight w:val="none"/>
              </w:rPr>
              <w:t>8.4</w:t>
            </w:r>
          </w:p>
        </w:tc>
        <w:tc>
          <w:tcPr>
            <w:tcW w:w="649" w:type="dxa"/>
            <w:vAlign w:val="center"/>
          </w:tcPr>
          <w:p>
            <w:pPr>
              <w:shd w:val="clear" w:color="auto" w:fill="C7DAF1" w:themeFill="text2" w:themeFillTint="32"/>
              <w:rPr>
                <w:lang w:eastAsia="ja-JP"/>
              </w:rPr>
            </w:pPr>
            <w:r>
              <w:rPr>
                <w:rFonts w:hint="eastAsia"/>
                <w:highlight w:val="none"/>
              </w:rPr>
              <w:t>8.5</w:t>
            </w:r>
          </w:p>
        </w:tc>
        <w:tc>
          <w:tcPr>
            <w:tcW w:w="650" w:type="dxa"/>
            <w:vAlign w:val="center"/>
          </w:tcPr>
          <w:p>
            <w:pPr>
              <w:shd w:val="clear" w:color="auto" w:fill="C7DAF1" w:themeFill="text2" w:themeFillTint="32"/>
              <w:rPr>
                <w:lang w:eastAsia="ja-JP"/>
              </w:rPr>
            </w:pPr>
            <w:r>
              <w:rPr>
                <w:rFonts w:hint="eastAsia"/>
                <w:highlight w:val="none"/>
              </w:rPr>
              <w:t>8.6</w:t>
            </w:r>
          </w:p>
        </w:tc>
        <w:tc>
          <w:tcPr>
            <w:tcW w:w="650" w:type="dxa"/>
            <w:vAlign w:val="center"/>
          </w:tcPr>
          <w:p>
            <w:pPr>
              <w:shd w:val="clear" w:color="auto" w:fill="C7DAF1" w:themeFill="text2" w:themeFillTint="32"/>
              <w:rPr>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3</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highlight w:val="none"/>
              </w:rPr>
              <w:t>9.1</w:t>
            </w:r>
          </w:p>
        </w:tc>
        <w:tc>
          <w:tcPr>
            <w:tcW w:w="650" w:type="dxa"/>
            <w:vAlign w:val="center"/>
          </w:tcPr>
          <w:p>
            <w:pPr>
              <w:shd w:val="clear" w:color="auto" w:fill="C7DAF1" w:themeFill="text2" w:themeFillTint="32"/>
              <w:rPr>
                <w:lang w:eastAsia="ja-JP"/>
              </w:rPr>
            </w:pPr>
            <w:r>
              <w:rPr>
                <w:rFonts w:hint="eastAsia"/>
                <w:highlight w:val="none"/>
              </w:rPr>
              <w:t>9.2</w:t>
            </w:r>
          </w:p>
        </w:tc>
        <w:tc>
          <w:tcPr>
            <w:tcW w:w="650" w:type="dxa"/>
            <w:vAlign w:val="center"/>
          </w:tcPr>
          <w:p>
            <w:pPr>
              <w:shd w:val="clear" w:color="auto" w:fill="C7DAF1" w:themeFill="text2" w:themeFillTint="32"/>
              <w:rPr>
                <w:lang w:eastAsia="ja-JP"/>
              </w:rPr>
            </w:pPr>
            <w:r>
              <w:rPr>
                <w:rFonts w:hint="eastAsia"/>
                <w:highlight w:val="none"/>
              </w:rPr>
              <w:t>9.3</w:t>
            </w:r>
          </w:p>
        </w:tc>
        <w:tc>
          <w:tcPr>
            <w:tcW w:w="649" w:type="dxa"/>
            <w:vAlign w:val="center"/>
          </w:tcPr>
          <w:p>
            <w:pPr>
              <w:shd w:val="clear" w:color="auto" w:fill="C7DAF1" w:themeFill="text2" w:themeFillTint="32"/>
              <w:rPr>
                <w:lang w:eastAsia="ja-JP"/>
              </w:rPr>
            </w:pPr>
            <w:r>
              <w:rPr>
                <w:rFonts w:hint="eastAsia"/>
                <w:highlight w:val="none"/>
              </w:rPr>
              <w:t>10.1</w:t>
            </w:r>
          </w:p>
        </w:tc>
        <w:tc>
          <w:tcPr>
            <w:tcW w:w="650" w:type="dxa"/>
            <w:vAlign w:val="center"/>
          </w:tcPr>
          <w:p>
            <w:pPr>
              <w:shd w:val="clear" w:color="auto" w:fill="C7DAF1" w:themeFill="text2" w:themeFillTint="32"/>
              <w:rPr>
                <w:lang w:eastAsia="ja-JP"/>
              </w:rPr>
            </w:pPr>
            <w:r>
              <w:rPr>
                <w:rFonts w:hint="eastAsia"/>
                <w:highlight w:val="none"/>
              </w:rPr>
              <w:t>10.2</w:t>
            </w:r>
          </w:p>
        </w:tc>
        <w:tc>
          <w:tcPr>
            <w:tcW w:w="650" w:type="dxa"/>
            <w:vAlign w:val="center"/>
          </w:tcPr>
          <w:p>
            <w:pPr>
              <w:shd w:val="clear" w:color="auto" w:fill="C7DAF1" w:themeFill="text2" w:themeFillTint="32"/>
              <w:rPr>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u w:val="single"/>
              </w:rPr>
            </w:pPr>
            <w:r>
              <w:rPr>
                <w:rFonts w:hint="eastAsia"/>
              </w:rPr>
              <w:t>最高管理者制定了文件化的管理体系方针：</w:t>
            </w:r>
            <w:r>
              <w:rPr>
                <w:rFonts w:hint="eastAsia"/>
                <w:color w:val="000000"/>
                <w:szCs w:val="18"/>
                <w:u w:val="single"/>
              </w:rPr>
              <w:t>以人为本   关爱生命  保护环境  珍惜资源  和谐发展</w:t>
            </w:r>
            <w:r>
              <w:rPr>
                <w:rFonts w:hint="eastAsia"/>
                <w:color w:val="000000"/>
                <w:szCs w:val="18"/>
                <w:u w:val="single"/>
                <w:lang w:eastAsia="zh-CN"/>
              </w:rPr>
              <w:t>。</w:t>
            </w:r>
            <w:r>
              <w:rPr>
                <w:rFonts w:hint="eastAsia"/>
                <w:color w:val="000000"/>
                <w:szCs w:val="18"/>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Theme="minorEastAsia"/>
                      <w:highlight w:val="none"/>
                      <w:lang w:val="en-US" w:eastAsia="zh-CN"/>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废气排放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highlight w:val="none"/>
                      <w:lang w:val="en-US" w:eastAsia="zh-CN"/>
                    </w:rPr>
                  </w:pPr>
                  <w:r>
                    <w:rPr>
                      <w:rFonts w:hint="eastAsia"/>
                      <w:highlight w:val="none"/>
                      <w:lang w:val="en-US" w:eastAsia="zh-CN"/>
                    </w:rPr>
                    <w:t>废水排放</w:t>
                  </w:r>
                </w:p>
              </w:tc>
              <w:tc>
                <w:tcPr>
                  <w:tcW w:w="3965" w:type="dxa"/>
                  <w:vAlign w:val="top"/>
                </w:tcPr>
                <w:p>
                  <w:pPr>
                    <w:shd w:val="clear" w:color="auto" w:fill="EBF1DE" w:themeFill="accent3" w:themeFillTint="32"/>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噪声排放</w:t>
                  </w:r>
                </w:p>
              </w:tc>
              <w:tc>
                <w:tcPr>
                  <w:tcW w:w="3965" w:type="dxa"/>
                  <w:vAlign w:val="top"/>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化学品泄漏</w:t>
                  </w:r>
                </w:p>
              </w:tc>
              <w:tc>
                <w:tcPr>
                  <w:tcW w:w="3965" w:type="dxa"/>
                  <w:vAlign w:val="top"/>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管理方案管理</w:t>
                  </w:r>
                </w:p>
              </w:tc>
              <w:tc>
                <w:tcPr>
                  <w:tcW w:w="1717" w:type="dxa"/>
                  <w:vAlign w:val="top"/>
                </w:tcPr>
                <w:p>
                  <w:pPr>
                    <w:shd w:val="clear" w:color="auto" w:fill="EBF1DE" w:themeFill="accent3" w:themeFillTint="32"/>
                    <w:rPr>
                      <w:highlight w:val="none"/>
                    </w:rPr>
                  </w:pPr>
                  <w:r>
                    <w:rPr>
                      <w:rFonts w:hint="eastAsia"/>
                      <w:highlight w:val="none"/>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w:t>
            </w:r>
            <w:r>
              <w:rPr>
                <w:rFonts w:hint="eastAsia"/>
                <w:lang w:eastAsia="zh-CN"/>
              </w:rPr>
              <w:t>□</w:t>
            </w: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排污许可证编号：</w:t>
            </w:r>
            <w:r>
              <w:rPr>
                <w:rFonts w:hint="eastAsia"/>
                <w:color w:val="000000"/>
                <w:lang w:val="en-US" w:eastAsia="zh-CN"/>
              </w:rPr>
              <w:t>固定污染源排污登记回执：登记编号：91500116355663575J002W</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环境影响报告表日期：</w:t>
            </w:r>
            <w:r>
              <w:rPr>
                <w:rFonts w:hint="eastAsia" w:ascii="Times New Roman" w:hAnsi="Times New Roman" w:eastAsia="宋体" w:cs="Times New Roman"/>
                <w:u w:val="single"/>
                <w:lang w:val="en-US" w:eastAsia="zh-CN"/>
              </w:rPr>
              <w:t>2017年9月19日</w:t>
            </w:r>
            <w:r>
              <w:rPr>
                <w:rFonts w:hint="eastAsia" w:ascii="Times New Roman" w:hAnsi="Times New Roman" w:eastAsia="宋体" w:cs="Times New Roman"/>
                <w:u w:val="single"/>
              </w:rPr>
              <w:t xml:space="preserve">  </w:t>
            </w:r>
            <w:r>
              <w:rPr>
                <w:rFonts w:hint="eastAsia"/>
                <w:u w:val="single"/>
              </w:rPr>
              <w:t xml:space="preserve"> </w:t>
            </w:r>
          </w:p>
          <w:p>
            <w:pPr>
              <w:shd w:val="clear" w:color="auto" w:fill="EBF1DE" w:themeFill="accent3" w:themeFillTint="32"/>
            </w:pPr>
            <w:r>
              <w:rPr>
                <w:rFonts w:hint="eastAsia"/>
                <w:lang w:eastAsia="zh-CN"/>
              </w:rPr>
              <w:t>□</w:t>
            </w:r>
            <w:r>
              <w:rPr>
                <w:rFonts w:hint="eastAsia"/>
              </w:rPr>
              <w:t>环境影响报告书日期：</w:t>
            </w:r>
          </w:p>
          <w:p>
            <w:pPr>
              <w:shd w:val="clear" w:color="auto" w:fill="EBF1DE" w:themeFill="accent3" w:themeFillTint="32"/>
            </w:pPr>
            <w:r>
              <w:rPr>
                <w:rFonts w:hint="eastAsia"/>
                <w:lang w:eastAsia="zh-CN"/>
              </w:rPr>
              <w:t>■</w:t>
            </w:r>
            <w:r>
              <w:rPr>
                <w:rFonts w:hint="eastAsia"/>
              </w:rPr>
              <w:t>消防验收/备案证明日期</w:t>
            </w:r>
            <w:r>
              <w:rPr>
                <w:rFonts w:hint="eastAsia"/>
                <w:highlight w:val="none"/>
              </w:rPr>
              <w:t>：</w:t>
            </w:r>
            <w:r>
              <w:rPr>
                <w:rFonts w:hint="eastAsia" w:eastAsia="宋体"/>
                <w:highlight w:val="none"/>
                <w:u w:val="single"/>
                <w:lang w:val="en-US" w:eastAsia="zh-CN"/>
              </w:rPr>
              <w:t>201</w:t>
            </w:r>
            <w:r>
              <w:rPr>
                <w:rFonts w:hint="eastAsia"/>
                <w:highlight w:val="none"/>
                <w:u w:val="single"/>
                <w:lang w:val="en-US" w:eastAsia="zh-CN"/>
              </w:rPr>
              <w:t>7</w:t>
            </w:r>
            <w:r>
              <w:rPr>
                <w:rFonts w:hint="eastAsia" w:eastAsia="宋体"/>
                <w:highlight w:val="none"/>
                <w:u w:val="single"/>
                <w:lang w:val="en-US" w:eastAsia="zh-CN"/>
              </w:rPr>
              <w:t>年</w:t>
            </w:r>
            <w:r>
              <w:rPr>
                <w:rFonts w:hint="eastAsia"/>
                <w:highlight w:val="none"/>
                <w:u w:val="single"/>
                <w:lang w:val="en-US" w:eastAsia="zh-CN"/>
              </w:rPr>
              <w:t>1</w:t>
            </w:r>
            <w:r>
              <w:rPr>
                <w:rFonts w:hint="eastAsia" w:eastAsia="宋体"/>
                <w:highlight w:val="none"/>
                <w:u w:val="single"/>
                <w:lang w:val="en-US" w:eastAsia="zh-CN"/>
              </w:rPr>
              <w:t>月</w:t>
            </w:r>
            <w:r>
              <w:rPr>
                <w:rFonts w:hint="eastAsia"/>
                <w:highlight w:val="none"/>
                <w:u w:val="single"/>
                <w:lang w:val="en-US" w:eastAsia="zh-CN"/>
              </w:rPr>
              <w:t>6</w:t>
            </w:r>
            <w:r>
              <w:rPr>
                <w:rFonts w:hint="eastAsia" w:eastAsia="宋体"/>
                <w:highlight w:val="none"/>
                <w:u w:val="single"/>
                <w:lang w:val="en-US" w:eastAsia="zh-CN"/>
              </w:rPr>
              <w:t>日</w:t>
            </w:r>
            <w:r>
              <w:rPr>
                <w:rFonts w:hint="eastAsia" w:eastAsia="宋体"/>
                <w:highlight w:val="none"/>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废气处理。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szCs w:val="18"/>
                    </w:rPr>
                    <w:t>固废回收处理率100%</w:t>
                  </w:r>
                  <w:r>
                    <w:rPr>
                      <w:rFonts w:hint="eastAsia" w:ascii="宋体" w:hAnsi="宋体" w:cs="宋体"/>
                      <w:color w:val="000000"/>
                      <w:szCs w:val="21"/>
                    </w:rPr>
                    <w:t xml:space="preserve"> </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color w:val="000000"/>
                      <w:szCs w:val="18"/>
                    </w:rPr>
                    <w:t>无重大火灾及环境污染事故</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 xml:space="preserve">建筑面积 </w:t>
            </w:r>
            <w:r>
              <w:rPr>
                <w:rFonts w:hint="eastAsia"/>
                <w:lang w:val="en-US" w:eastAsia="zh-CN"/>
              </w:rPr>
              <w:t>2662</w:t>
            </w:r>
            <w:r>
              <w:rPr>
                <w:rFonts w:hint="eastAsia"/>
              </w:rPr>
              <w:t xml:space="preserve">平方米；生产车间 </w:t>
            </w:r>
            <w:r>
              <w:rPr>
                <w:rFonts w:hint="eastAsia"/>
                <w:lang w:val="en-US" w:eastAsia="zh-CN"/>
              </w:rPr>
              <w:t>1</w:t>
            </w:r>
            <w:r>
              <w:rPr>
                <w:rFonts w:hint="eastAsia"/>
              </w:rPr>
              <w:t xml:space="preserve"> 个；库房  </w:t>
            </w:r>
            <w:r>
              <w:rPr>
                <w:rFonts w:hint="eastAsia"/>
                <w:lang w:val="en-US" w:eastAsia="zh-CN"/>
              </w:rPr>
              <w:t>1</w:t>
            </w:r>
            <w:r>
              <w:rPr>
                <w:rFonts w:hint="eastAsia"/>
              </w:rPr>
              <w:t xml:space="preserve">  个；实验室  个；</w:t>
            </w:r>
          </w:p>
          <w:p>
            <w:pPr>
              <w:shd w:val="clear" w:color="auto" w:fill="EBF1DE" w:themeFill="accent3" w:themeFillTint="32"/>
              <w:rPr>
                <w:rFonts w:hint="eastAsia" w:eastAsia="宋体"/>
                <w:highlight w:val="none"/>
                <w:lang w:eastAsia="zh-CN"/>
              </w:rPr>
            </w:pPr>
            <w:r>
              <w:rPr>
                <w:rFonts w:hint="eastAsia" w:eastAsia="宋体"/>
                <w:highlight w:val="none"/>
              </w:rPr>
              <w:t>主要生产设备有：</w:t>
            </w:r>
            <w:r>
              <w:rPr>
                <w:rFonts w:hint="eastAsia"/>
                <w:u w:val="single"/>
              </w:rPr>
              <w:t>办公设备（电脑、打印机、复</w:t>
            </w:r>
            <w:r>
              <w:rPr>
                <w:rFonts w:hint="eastAsia"/>
                <w:highlight w:val="none"/>
                <w:u w:val="single"/>
                <w:lang w:eastAsia="zh-CN"/>
              </w:rPr>
              <w:t>印机等）、</w:t>
            </w:r>
            <w:r>
              <w:rPr>
                <w:rFonts w:hint="eastAsia"/>
                <w:highlight w:val="none"/>
                <w:u w:val="single"/>
                <w:lang w:val="en-US" w:eastAsia="zh-CN"/>
              </w:rPr>
              <w:t>生产设备</w:t>
            </w:r>
            <w:r>
              <w:rPr>
                <w:rFonts w:hint="eastAsia"/>
                <w:highlight w:val="none"/>
                <w:u w:val="single"/>
                <w:lang w:eastAsia="zh-CN"/>
              </w:rPr>
              <w:t>（</w:t>
            </w:r>
            <w:r>
              <w:rPr>
                <w:rFonts w:hint="eastAsia"/>
                <w:highlight w:val="none"/>
                <w:u w:val="single"/>
                <w:lang w:val="en-US" w:eastAsia="zh-CN"/>
              </w:rPr>
              <w:t>间隔轮转机</w:t>
            </w:r>
            <w:r>
              <w:rPr>
                <w:rFonts w:hint="eastAsia"/>
                <w:highlight w:val="none"/>
                <w:u w:val="single"/>
                <w:lang w:eastAsia="zh-CN"/>
              </w:rPr>
              <w:t>、</w:t>
            </w:r>
            <w:r>
              <w:rPr>
                <w:rFonts w:hint="eastAsia"/>
                <w:highlight w:val="none"/>
                <w:u w:val="single"/>
                <w:lang w:val="en-US" w:eastAsia="zh-CN"/>
              </w:rPr>
              <w:t>全自动高速商标模切机</w:t>
            </w:r>
            <w:r>
              <w:rPr>
                <w:rFonts w:hint="eastAsia"/>
                <w:highlight w:val="none"/>
                <w:u w:val="single"/>
                <w:lang w:eastAsia="zh-CN"/>
              </w:rPr>
              <w:t>、</w:t>
            </w:r>
            <w:r>
              <w:rPr>
                <w:rFonts w:hint="eastAsia"/>
                <w:highlight w:val="none"/>
                <w:u w:val="single"/>
                <w:lang w:val="en-US" w:eastAsia="zh-CN"/>
              </w:rPr>
              <w:t>全自动模切机、全自动不干胶商标模切机、制版机、自动分切机、品检机等</w:t>
            </w:r>
            <w:r>
              <w:rPr>
                <w:rFonts w:hint="eastAsia"/>
                <w:highlight w:val="none"/>
                <w:u w:val="single"/>
                <w:lang w:eastAsia="zh-CN"/>
              </w:rPr>
              <w:t>）</w:t>
            </w:r>
            <w:r>
              <w:rPr>
                <w:rFonts w:hint="eastAsia" w:eastAsia="宋体"/>
                <w:highlight w:val="none"/>
                <w:lang w:eastAsia="zh-CN"/>
              </w:rPr>
              <w:t>。</w:t>
            </w:r>
          </w:p>
          <w:p>
            <w:pPr>
              <w:shd w:val="clear" w:color="auto" w:fill="EBF1DE" w:themeFill="accent3" w:themeFillTint="32"/>
              <w:rPr>
                <w:rFonts w:hint="eastAsia" w:eastAsia="宋体"/>
                <w:highlight w:val="none"/>
              </w:rPr>
            </w:pPr>
            <w:r>
              <w:rPr>
                <w:rFonts w:hint="eastAsia" w:eastAsia="宋体"/>
                <w:highlight w:val="none"/>
              </w:rPr>
              <w:t>特种设备：</w:t>
            </w:r>
            <w:r>
              <w:rPr>
                <w:rFonts w:hint="eastAsia"/>
                <w:highlight w:val="none"/>
                <w:lang w:eastAsia="zh-CN"/>
              </w:rPr>
              <w:t>□</w:t>
            </w:r>
            <w:r>
              <w:rPr>
                <w:rFonts w:hint="eastAsia" w:eastAsia="宋体"/>
                <w:highlight w:val="none"/>
              </w:rPr>
              <w:t xml:space="preserve">叉车 </w:t>
            </w:r>
            <w:r>
              <w:rPr>
                <w:rFonts w:hint="eastAsia"/>
                <w:highlight w:val="none"/>
                <w:lang w:eastAsia="zh-CN"/>
              </w:rPr>
              <w:t>□</w:t>
            </w:r>
            <w:r>
              <w:rPr>
                <w:rFonts w:hint="eastAsia" w:eastAsia="宋体"/>
                <w:highlight w:val="none"/>
              </w:rPr>
              <w:t xml:space="preserve">行车 </w:t>
            </w:r>
            <w:r>
              <w:rPr>
                <w:rFonts w:hint="eastAsia"/>
                <w:highlight w:val="none"/>
                <w:lang w:eastAsia="zh-CN"/>
              </w:rPr>
              <w:t>□</w:t>
            </w:r>
            <w:r>
              <w:rPr>
                <w:rFonts w:hint="eastAsia" w:eastAsia="宋体"/>
                <w:highlight w:val="none"/>
              </w:rPr>
              <w:t xml:space="preserve">锅炉 </w:t>
            </w:r>
            <w:r>
              <w:rPr>
                <w:rFonts w:hint="eastAsia"/>
                <w:highlight w:val="none"/>
                <w:lang w:eastAsia="zh-CN"/>
              </w:rPr>
              <w:t>■</w:t>
            </w:r>
            <w:r>
              <w:rPr>
                <w:rFonts w:hint="eastAsia" w:eastAsia="宋体"/>
                <w:highlight w:val="none"/>
              </w:rPr>
              <w:t xml:space="preserve">电梯  </w:t>
            </w:r>
            <w:r>
              <w:rPr>
                <w:rFonts w:hint="eastAsia"/>
                <w:highlight w:val="none"/>
                <w:lang w:eastAsia="zh-CN"/>
              </w:rPr>
              <w:t>□</w:t>
            </w:r>
            <w:r>
              <w:rPr>
                <w:rFonts w:hint="eastAsia" w:eastAsia="宋体"/>
                <w:highlight w:val="none"/>
              </w:rPr>
              <w:t xml:space="preserve">压力容器  </w:t>
            </w:r>
            <w:r>
              <w:rPr>
                <w:rFonts w:hint="eastAsia"/>
                <w:highlight w:val="none"/>
                <w:lang w:eastAsia="zh-CN"/>
              </w:rPr>
              <w:t>□</w:t>
            </w:r>
            <w:r>
              <w:rPr>
                <w:rFonts w:hint="eastAsia" w:eastAsia="宋体"/>
                <w:highlight w:val="none"/>
              </w:rPr>
              <w:t xml:space="preserve">压力管道  </w:t>
            </w:r>
            <w:r>
              <w:rPr>
                <w:rFonts w:hint="eastAsia"/>
                <w:highlight w:val="none"/>
                <w:lang w:eastAsia="zh-CN"/>
              </w:rPr>
              <w:t>□</w:t>
            </w:r>
            <w:r>
              <w:rPr>
                <w:rFonts w:hint="eastAsia" w:eastAsia="宋体"/>
                <w:highlight w:val="none"/>
              </w:rPr>
              <w:t xml:space="preserve">不适用 </w:t>
            </w:r>
          </w:p>
          <w:p>
            <w:pPr>
              <w:shd w:val="clear" w:color="auto" w:fill="EBF1DE" w:themeFill="accent3" w:themeFillTint="32"/>
              <w:rPr>
                <w:rFonts w:hint="eastAsia" w:eastAsia="宋体"/>
                <w:highlight w:val="none"/>
              </w:rPr>
            </w:pPr>
            <w:r>
              <w:rPr>
                <w:rFonts w:hint="eastAsia" w:eastAsia="宋体"/>
                <w:highlight w:val="none"/>
              </w:rPr>
              <w:t>辅助场所：</w:t>
            </w:r>
            <w:r>
              <w:rPr>
                <w:rFonts w:hint="eastAsia"/>
                <w:highlight w:val="none"/>
                <w:lang w:eastAsia="zh-CN"/>
              </w:rPr>
              <w:t>□</w:t>
            </w:r>
            <w:r>
              <w:rPr>
                <w:rFonts w:hint="eastAsia" w:eastAsia="宋体"/>
                <w:highlight w:val="none"/>
              </w:rPr>
              <w:t xml:space="preserve">高压配电室 </w:t>
            </w:r>
            <w:r>
              <w:rPr>
                <w:rFonts w:hint="eastAsia"/>
                <w:highlight w:val="none"/>
                <w:lang w:eastAsia="zh-CN"/>
              </w:rPr>
              <w:t>□</w:t>
            </w:r>
            <w:r>
              <w:rPr>
                <w:rFonts w:hint="eastAsia" w:eastAsia="宋体"/>
                <w:highlight w:val="none"/>
              </w:rPr>
              <w:t xml:space="preserve">低压配电室 </w:t>
            </w:r>
            <w:r>
              <w:rPr>
                <w:rFonts w:hint="eastAsia"/>
                <w:highlight w:val="none"/>
                <w:lang w:eastAsia="zh-CN"/>
              </w:rPr>
              <w:t>□</w:t>
            </w:r>
            <w:r>
              <w:rPr>
                <w:rFonts w:hint="eastAsia" w:eastAsia="宋体"/>
                <w:highlight w:val="none"/>
              </w:rPr>
              <w:t xml:space="preserve">空压站 </w:t>
            </w:r>
            <w:r>
              <w:rPr>
                <w:rFonts w:hint="eastAsia"/>
                <w:highlight w:val="none"/>
                <w:lang w:eastAsia="zh-CN"/>
              </w:rPr>
              <w:t>□</w:t>
            </w:r>
            <w:r>
              <w:rPr>
                <w:rFonts w:hint="eastAsia" w:eastAsia="宋体"/>
                <w:highlight w:val="none"/>
              </w:rPr>
              <w:t xml:space="preserve">锅炉房 </w:t>
            </w:r>
            <w:r>
              <w:rPr>
                <w:rFonts w:hint="eastAsia"/>
                <w:highlight w:val="none"/>
                <w:lang w:eastAsia="zh-CN"/>
              </w:rPr>
              <w:t>□</w:t>
            </w:r>
            <w:r>
              <w:rPr>
                <w:rFonts w:hint="eastAsia" w:eastAsia="宋体"/>
                <w:highlight w:val="none"/>
              </w:rPr>
              <w:t xml:space="preserve">食堂  </w:t>
            </w:r>
            <w:r>
              <w:rPr>
                <w:rFonts w:hint="eastAsia"/>
                <w:highlight w:val="none"/>
                <w:lang w:eastAsia="zh-CN"/>
              </w:rPr>
              <w:t>□</w:t>
            </w:r>
            <w:r>
              <w:rPr>
                <w:rFonts w:hint="eastAsia" w:eastAsia="宋体"/>
                <w:highlight w:val="none"/>
              </w:rPr>
              <w:t xml:space="preserve">危化品库  </w:t>
            </w:r>
          </w:p>
          <w:p>
            <w:pPr>
              <w:shd w:val="clear" w:color="auto" w:fill="EBF1DE" w:themeFill="accent3" w:themeFillTint="32"/>
              <w:rPr>
                <w:rFonts w:hint="eastAsia" w:eastAsia="宋体"/>
                <w:highlight w:val="none"/>
              </w:rPr>
            </w:pPr>
            <w:r>
              <w:rPr>
                <w:rFonts w:hint="eastAsia"/>
                <w:highlight w:val="none"/>
                <w:lang w:eastAsia="zh-CN"/>
              </w:rPr>
              <w:t>□</w:t>
            </w:r>
            <w:r>
              <w:rPr>
                <w:rFonts w:hint="eastAsia" w:eastAsia="宋体"/>
                <w:highlight w:val="none"/>
              </w:rPr>
              <w:t xml:space="preserve">危废库  </w:t>
            </w:r>
            <w:r>
              <w:rPr>
                <w:rFonts w:hint="eastAsia"/>
                <w:highlight w:val="none"/>
                <w:lang w:eastAsia="zh-CN"/>
              </w:rPr>
              <w:t>□</w:t>
            </w:r>
            <w:r>
              <w:rPr>
                <w:rFonts w:hint="eastAsia" w:eastAsia="宋体"/>
                <w:highlight w:val="none"/>
              </w:rPr>
              <w:t xml:space="preserve">建筑施工 </w:t>
            </w:r>
            <w:r>
              <w:rPr>
                <w:rFonts w:hint="eastAsia"/>
                <w:highlight w:val="none"/>
                <w:lang w:eastAsia="zh-CN"/>
              </w:rPr>
              <w:t>□</w:t>
            </w:r>
            <w:r>
              <w:rPr>
                <w:rFonts w:hint="eastAsia" w:eastAsia="宋体"/>
                <w:highlight w:val="none"/>
              </w:rPr>
              <w:t xml:space="preserve">污水处理站  </w:t>
            </w:r>
            <w:r>
              <w:rPr>
                <w:rFonts w:hint="eastAsia"/>
                <w:highlight w:val="none"/>
                <w:lang w:eastAsia="zh-CN"/>
              </w:rPr>
              <w:t>□</w:t>
            </w:r>
            <w:r>
              <w:rPr>
                <w:rFonts w:hint="eastAsia" w:eastAsia="宋体"/>
                <w:highlight w:val="none"/>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lang w:eastAsia="zh-CN"/>
              </w:rPr>
              <w:t>□</w:t>
            </w:r>
            <w:r>
              <w:rPr>
                <w:rFonts w:hint="eastAsia"/>
              </w:rPr>
              <w:t xml:space="preserve">自校   </w:t>
            </w:r>
            <w:r>
              <w:rPr>
                <w:rFonts w:hint="eastAsia"/>
                <w:lang w:eastAsia="zh-CN"/>
              </w:rPr>
              <w:t>□</w:t>
            </w:r>
            <w:r>
              <w:rPr>
                <w:rFonts w:hint="eastAsia"/>
              </w:rPr>
              <w:t xml:space="preserve">外校 </w:t>
            </w:r>
          </w:p>
          <w:p>
            <w:pPr>
              <w:shd w:val="clear" w:color="auto" w:fill="EBF1DE" w:themeFill="accent3" w:themeFillTint="32"/>
              <w:rPr>
                <w:u w:val="single"/>
              </w:rPr>
            </w:pPr>
            <w:r>
              <w:rPr>
                <w:rFonts w:hint="eastAsia"/>
              </w:rPr>
              <w:t xml:space="preserve">环境监测的计量器具有：                         </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lang w:eastAsia="zh-CN"/>
              </w:rPr>
              <w:t>□</w:t>
            </w:r>
            <w:r>
              <w:rPr>
                <w:rFonts w:hint="eastAsia" w:eastAsia="宋体"/>
              </w:rPr>
              <w:t xml:space="preserve">辅导  </w:t>
            </w:r>
            <w:r>
              <w:rPr>
                <w:rFonts w:hint="eastAsia"/>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rPr>
            </w:pPr>
            <w:r>
              <w:rPr>
                <w:rFonts w:hint="eastAsia"/>
              </w:rPr>
              <w:t>特种作业人员：</w:t>
            </w:r>
            <w:r>
              <w:rPr>
                <w:rFonts w:hint="eastAsia"/>
                <w:lang w:eastAsia="zh-CN"/>
              </w:rPr>
              <w:t>□</w:t>
            </w:r>
            <w:r>
              <w:rPr>
                <w:rFonts w:hint="eastAsia"/>
              </w:rPr>
              <w:t xml:space="preserve">电工 </w:t>
            </w:r>
            <w:r>
              <w:rPr>
                <w:rFonts w:hint="eastAsia"/>
                <w:lang w:eastAsia="zh-CN"/>
              </w:rPr>
              <w:t>□</w:t>
            </w:r>
            <w:r>
              <w:rPr>
                <w:rFonts w:hint="eastAsia"/>
              </w:rPr>
              <w:t xml:space="preserve">焊工  </w:t>
            </w:r>
            <w:r>
              <w:rPr>
                <w:rFonts w:hint="eastAsia"/>
                <w:lang w:eastAsia="zh-CN"/>
              </w:rPr>
              <w:t>□</w:t>
            </w:r>
            <w:r>
              <w:rPr>
                <w:rFonts w:hint="eastAsia"/>
              </w:rPr>
              <w:t xml:space="preserve">危化品作业  </w:t>
            </w:r>
            <w:r>
              <w:rPr>
                <w:rFonts w:hint="eastAsia"/>
                <w:lang w:eastAsia="zh-CN"/>
              </w:rPr>
              <w:t>□</w:t>
            </w:r>
            <w:r>
              <w:rPr>
                <w:rFonts w:hint="eastAsia"/>
              </w:rPr>
              <w:t xml:space="preserve">制冷工   </w:t>
            </w:r>
            <w:r>
              <w:rPr>
                <w:rFonts w:hint="eastAsia"/>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lang w:eastAsia="zh-CN"/>
              </w:rPr>
              <w:t>□</w:t>
            </w:r>
            <w:r>
              <w:rPr>
                <w:rFonts w:hint="eastAsia"/>
              </w:rPr>
              <w:t xml:space="preserve">叉车工 </w:t>
            </w:r>
            <w:r>
              <w:rPr>
                <w:rFonts w:hint="eastAsia"/>
                <w:lang w:eastAsia="zh-CN"/>
              </w:rPr>
              <w:t>□</w:t>
            </w:r>
            <w:r>
              <w:rPr>
                <w:rFonts w:hint="eastAsia"/>
              </w:rPr>
              <w:t xml:space="preserve">行车工  </w:t>
            </w:r>
            <w:r>
              <w:rPr>
                <w:rFonts w:hint="eastAsia"/>
                <w:lang w:eastAsia="zh-CN"/>
              </w:rPr>
              <w:t>□</w:t>
            </w:r>
            <w:r>
              <w:rPr>
                <w:rFonts w:hint="eastAsia"/>
              </w:rPr>
              <w:t xml:space="preserve">锅炉工  </w:t>
            </w:r>
            <w:r>
              <w:rPr>
                <w:rFonts w:hint="eastAsia"/>
                <w:lang w:eastAsia="zh-CN"/>
              </w:rPr>
              <w:t>□</w:t>
            </w:r>
            <w:r>
              <w:rPr>
                <w:rFonts w:hint="eastAsia"/>
              </w:rPr>
              <w:t xml:space="preserve">压力容器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highlight w:val="green"/>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highlight w:val="green"/>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vAlign w:val="top"/>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jc w:val="left"/>
              <w:rPr>
                <w:rFonts w:hint="eastAsia" w:ascii="Times New Roman" w:hAnsi="Times New Roman" w:eastAsia="宋体" w:cs="Times New Roman"/>
              </w:rPr>
            </w:pPr>
            <w:r>
              <w:rPr>
                <w:rFonts w:hint="eastAsia"/>
              </w:rPr>
              <w:t>特种设备</w:t>
            </w:r>
            <w:r>
              <w:rPr>
                <w:rFonts w:hint="eastAsia" w:ascii="Times New Roman" w:hAnsi="Times New Roman" w:eastAsia="宋体" w:cs="Times New Roman"/>
              </w:rPr>
              <w:t>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pPr>
              <w:shd w:val="clear" w:color="auto" w:fill="EBF1DE" w:themeFill="accent3" w:themeFillTint="32"/>
              <w:jc w:val="left"/>
            </w:pPr>
            <w:r>
              <w:rPr>
                <w:rFonts w:hint="eastAsia" w:ascii="Times New Roman" w:hAnsi="Times New Roman" w:eastAsia="宋体" w:cs="Times New Roman"/>
              </w:rPr>
              <w:t>特种设备检测报告，如：</w:t>
            </w:r>
            <w:r>
              <w:rPr>
                <w:rFonts w:hint="eastAsia" w:ascii="Times New Roman" w:hAnsi="Times New Roman" w:eastAsia="宋体" w:cs="Times New Roman"/>
                <w:lang w:val="en-US" w:eastAsia="zh-CN"/>
              </w:rPr>
              <w:t>提供有2020年度电梯检验报告，报告编号：</w:t>
            </w:r>
            <w:bookmarkStart w:id="34" w:name="_GoBack"/>
            <w:bookmarkEnd w:id="34"/>
            <w:r>
              <w:rPr>
                <w:rFonts w:hint="eastAsia" w:ascii="Times New Roman" w:hAnsi="Times New Roman" w:eastAsia="宋体" w:cs="Times New Roman"/>
                <w:lang w:val="en-US" w:eastAsia="zh-CN"/>
              </w:rPr>
              <w:t>3120-500381-201507-56879-2020；</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2021年电梯已按期检验，报告正在办理中（预计2021年12月8日前能拿取报告），待报告拿取后上报中心备案。</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highlight w:val="none"/>
              </w:rPr>
            </w:pPr>
            <w:r>
              <w:rPr>
                <w:rFonts w:hint="eastAsia"/>
              </w:rPr>
              <w:t>采用的标识</w:t>
            </w:r>
            <w:r>
              <w:rPr>
                <w:rFonts w:hint="eastAsia"/>
                <w:highlight w:val="none"/>
              </w:rPr>
              <w:t>方式：</w:t>
            </w:r>
            <w:r>
              <w:rPr>
                <w:rFonts w:hint="eastAsia"/>
                <w:highlight w:val="none"/>
                <w:lang w:eastAsia="zh-CN"/>
              </w:rPr>
              <w:t>■</w:t>
            </w:r>
            <w:r>
              <w:rPr>
                <w:rFonts w:hint="eastAsia"/>
                <w:highlight w:val="none"/>
              </w:rPr>
              <w:t xml:space="preserve">MSDS </w:t>
            </w:r>
            <w:r>
              <w:rPr>
                <w:rFonts w:hint="eastAsia" w:ascii="Wingdings" w:hAnsi="Wingdings"/>
                <w:highlight w:val="none"/>
                <w:lang w:eastAsia="zh-CN"/>
              </w:rPr>
              <w:t>□</w:t>
            </w:r>
            <w:r>
              <w:rPr>
                <w:rFonts w:hint="eastAsia"/>
                <w:highlight w:val="none"/>
              </w:rPr>
              <w:t xml:space="preserve">危害告知标牌  </w:t>
            </w:r>
            <w:r>
              <w:rPr>
                <w:rFonts w:hint="eastAsia" w:ascii="Wingdings" w:hAnsi="Wingdings"/>
                <w:highlight w:val="none"/>
                <w:lang w:eastAsia="zh-CN"/>
              </w:rPr>
              <w:t>□</w:t>
            </w:r>
            <w:r>
              <w:rPr>
                <w:rFonts w:hint="eastAsia"/>
                <w:highlight w:val="none"/>
              </w:rPr>
              <w:t>其他</w:t>
            </w:r>
          </w:p>
          <w:p>
            <w:pPr>
              <w:shd w:val="clear" w:color="auto" w:fill="EBF1DE" w:themeFill="accent3" w:themeFillTint="32"/>
              <w:jc w:val="left"/>
            </w:pPr>
            <w:r>
              <w:rPr>
                <w:rFonts w:hint="eastAsia"/>
                <w:highlight w:val="none"/>
              </w:rPr>
              <w:t>可追溯性实现：</w:t>
            </w:r>
            <w:r>
              <w:rPr>
                <w:rFonts w:hint="eastAsia"/>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lang w:eastAsia="zh-CN"/>
              </w:rPr>
              <w:t>□</w:t>
            </w:r>
            <w:r>
              <w:rPr>
                <w:rFonts w:hint="eastAsia" w:eastAsia="宋体"/>
              </w:rPr>
              <w:t xml:space="preserve">重要原材料 </w:t>
            </w:r>
            <w:r>
              <w:rPr>
                <w:rFonts w:hint="eastAsia"/>
                <w:lang w:eastAsia="zh-CN"/>
              </w:rPr>
              <w:t>□</w:t>
            </w:r>
            <w:r>
              <w:rPr>
                <w:rFonts w:hint="eastAsia" w:eastAsia="宋体"/>
              </w:rPr>
              <w:t xml:space="preserve">设备 </w:t>
            </w:r>
            <w:r>
              <w:rPr>
                <w:rFonts w:hint="eastAsia"/>
                <w:lang w:eastAsia="zh-CN"/>
              </w:rPr>
              <w:t>□</w:t>
            </w:r>
            <w:r>
              <w:rPr>
                <w:rFonts w:hint="eastAsia" w:eastAsia="宋体"/>
              </w:rPr>
              <w:t xml:space="preserve">检测设备 </w:t>
            </w:r>
            <w:r>
              <w:rPr>
                <w:rFonts w:hint="eastAsia"/>
                <w:lang w:eastAsia="zh-CN"/>
              </w:rPr>
              <w:t>□</w:t>
            </w:r>
            <w:r>
              <w:rPr>
                <w:rFonts w:hint="eastAsia" w:eastAsia="宋体"/>
              </w:rPr>
              <w:t xml:space="preserve">图纸 </w:t>
            </w:r>
            <w:r>
              <w:rPr>
                <w:rFonts w:hint="eastAsia"/>
                <w:lang w:eastAsia="zh-CN"/>
              </w:rPr>
              <w:t>□</w:t>
            </w:r>
            <w:r>
              <w:rPr>
                <w:rFonts w:hint="eastAsia" w:eastAsia="宋体"/>
              </w:rPr>
              <w:t xml:space="preserve">工艺 </w:t>
            </w:r>
            <w:r>
              <w:rPr>
                <w:rFonts w:hint="eastAsia"/>
                <w:lang w:eastAsia="zh-CN"/>
              </w:rPr>
              <w:t>□</w:t>
            </w:r>
            <w:r>
              <w:rPr>
                <w:rFonts w:hint="eastAsia" w:eastAsia="宋体"/>
              </w:rPr>
              <w:t xml:space="preserve">加工场所 </w:t>
            </w:r>
            <w:r>
              <w:rPr>
                <w:rFonts w:hint="eastAsia"/>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lang w:eastAsia="zh-CN"/>
              </w:rPr>
              <w:t>□</w:t>
            </w:r>
            <w:r>
              <w:rPr>
                <w:rFonts w:hint="eastAsia" w:eastAsia="宋体"/>
              </w:rPr>
              <w:t xml:space="preserve">符合要求 </w:t>
            </w:r>
            <w:r>
              <w:rPr>
                <w:rFonts w:hint="eastAsia"/>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highlight w:val="none"/>
              </w:rPr>
              <w:t>于</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6</w:t>
            </w:r>
            <w:r>
              <w:rPr>
                <w:rFonts w:hint="eastAsia"/>
                <w:highlight w:val="none"/>
                <w:u w:val="single"/>
              </w:rPr>
              <w:t>月1</w:t>
            </w:r>
            <w:r>
              <w:rPr>
                <w:rFonts w:hint="eastAsia"/>
                <w:highlight w:val="none"/>
                <w:u w:val="single"/>
                <w:lang w:val="en-US" w:eastAsia="zh-CN"/>
              </w:rPr>
              <w:t>8</w:t>
            </w:r>
            <w:r>
              <w:rPr>
                <w:rFonts w:hint="eastAsia"/>
                <w:highlight w:val="none"/>
                <w:u w:val="single"/>
              </w:rPr>
              <w:t>日</w:t>
            </w:r>
            <w:r>
              <w:rPr>
                <w:rFonts w:hint="eastAsia"/>
                <w:highlight w:val="none"/>
              </w:rPr>
              <w:t>进行了</w:t>
            </w:r>
            <w:r>
              <w:rPr>
                <w:rFonts w:hint="eastAsia"/>
              </w:rPr>
              <w:t>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highlight w:val="none"/>
              </w:rPr>
            </w:pPr>
            <w:r>
              <w:rPr>
                <w:rFonts w:hint="eastAsia"/>
                <w:lang w:eastAsia="zh-CN"/>
              </w:rPr>
              <w:t>■</w:t>
            </w:r>
            <w:r>
              <w:rPr>
                <w:rFonts w:hint="eastAsia"/>
              </w:rPr>
              <w:t>定期（每年）</w:t>
            </w:r>
            <w:r>
              <w:rPr>
                <w:rFonts w:hint="eastAsia"/>
                <w:highlight w:val="none"/>
              </w:rPr>
              <w:t xml:space="preserve"> ：</w:t>
            </w:r>
            <w:r>
              <w:rPr>
                <w:rFonts w:hint="eastAsia"/>
                <w:highlight w:val="none"/>
                <w:u w:val="single"/>
              </w:rPr>
              <w:t>20</w:t>
            </w:r>
            <w:r>
              <w:rPr>
                <w:rFonts w:hint="eastAsia"/>
                <w:highlight w:val="none"/>
                <w:u w:val="single"/>
                <w:lang w:val="en-US" w:eastAsia="zh-CN"/>
              </w:rPr>
              <w:t>21</w:t>
            </w:r>
            <w:r>
              <w:rPr>
                <w:rFonts w:hint="eastAsia"/>
                <w:highlight w:val="none"/>
                <w:u w:val="single"/>
              </w:rPr>
              <w:t>年</w:t>
            </w:r>
            <w:r>
              <w:rPr>
                <w:rFonts w:hint="eastAsia"/>
                <w:highlight w:val="none"/>
                <w:u w:val="single"/>
                <w:lang w:val="en-US" w:eastAsia="zh-CN"/>
              </w:rPr>
              <w:t>5</w:t>
            </w:r>
            <w:r>
              <w:rPr>
                <w:rFonts w:hint="eastAsia"/>
                <w:highlight w:val="none"/>
                <w:u w:val="single"/>
              </w:rPr>
              <w:t>月1</w:t>
            </w:r>
            <w:r>
              <w:rPr>
                <w:rFonts w:hint="eastAsia"/>
                <w:highlight w:val="none"/>
                <w:u w:val="single"/>
                <w:lang w:val="en-US" w:eastAsia="zh-CN"/>
              </w:rPr>
              <w:t>0</w:t>
            </w:r>
            <w:r>
              <w:rPr>
                <w:rFonts w:hint="eastAsia"/>
                <w:highlight w:val="none"/>
                <w:u w:val="single"/>
              </w:rPr>
              <w:t>日</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Cs w:val="18"/>
                <w:u w:val="single"/>
                <w:lang w:val="en-US" w:eastAsia="zh-CN"/>
              </w:rPr>
              <w:t>宏畴（WT）【2021】078号</w:t>
            </w:r>
            <w:r>
              <w:rPr>
                <w:rFonts w:hint="eastAsia"/>
                <w:color w:val="000000"/>
                <w:szCs w:val="18"/>
                <w:u w:val="single"/>
              </w:rPr>
              <w:t xml:space="preserve"> </w:t>
            </w:r>
            <w:r>
              <w:rPr>
                <w:rFonts w:hint="eastAsia"/>
              </w:rPr>
              <w:t>。</w:t>
            </w:r>
          </w:p>
          <w:p>
            <w:pPr>
              <w:shd w:val="clear" w:color="auto" w:fill="EBF1DE" w:themeFill="accent3" w:themeFillTint="32"/>
            </w:pPr>
            <w:r>
              <w:rPr>
                <w:rFonts w:hint="eastAsia" w:ascii="Times New Roman" w:hAnsi="Times New Roman" w:eastAsia="宋体" w:cs="Times New Roman"/>
              </w:rPr>
              <w:t xml:space="preserve">《建筑消防检测报告》编号：    </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年 </w:t>
            </w:r>
            <w:r>
              <w:rPr>
                <w:rFonts w:hint="eastAsia"/>
                <w:u w:val="single"/>
                <w:lang w:val="en-US" w:eastAsia="zh-CN"/>
              </w:rPr>
              <w:t>8</w:t>
            </w:r>
            <w:r>
              <w:rPr>
                <w:rFonts w:hint="eastAsia"/>
                <w:u w:val="single"/>
              </w:rPr>
              <w:t>月</w:t>
            </w:r>
            <w:r>
              <w:rPr>
                <w:rFonts w:hint="eastAsia"/>
                <w:u w:val="single"/>
                <w:lang w:val="en-US" w:eastAsia="zh-CN"/>
              </w:rPr>
              <w:t>11</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9</w:t>
            </w:r>
            <w:r>
              <w:rPr>
                <w:rFonts w:hint="eastAsia"/>
                <w:u w:val="single"/>
              </w:rPr>
              <w:t>月</w:t>
            </w:r>
            <w:r>
              <w:rPr>
                <w:rFonts w:hint="eastAsia"/>
                <w:u w:val="single"/>
                <w:lang w:val="en-US" w:eastAsia="zh-CN"/>
              </w:rPr>
              <w:t>25</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lang w:eastAsia="zh-CN"/>
              </w:rPr>
              <w:t>□</w:t>
            </w:r>
            <w:r>
              <w:rPr>
                <w:rFonts w:hint="eastAsia" w:eastAsia="宋体"/>
              </w:rPr>
              <w:t xml:space="preserve">目标统计分析结果   </w:t>
            </w:r>
            <w:r>
              <w:rPr>
                <w:rFonts w:hint="eastAsia"/>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rPr>
          <w:sz w:val="18"/>
          <w:szCs w:val="18"/>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CB04BC"/>
    <w:rsid w:val="24572F93"/>
    <w:rsid w:val="29B54E3D"/>
    <w:rsid w:val="30E107B4"/>
    <w:rsid w:val="39F44150"/>
    <w:rsid w:val="468477C0"/>
    <w:rsid w:val="4AD02A36"/>
    <w:rsid w:val="4DF67FC6"/>
    <w:rsid w:val="5DCF7A63"/>
    <w:rsid w:val="5E8B07C4"/>
    <w:rsid w:val="61A24FB0"/>
    <w:rsid w:val="6A865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2021-11-30T03:38:42Z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