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No.1</w:t>
      </w:r>
    </w:p>
    <w:tbl>
      <w:tblPr>
        <w:tblStyle w:val="4"/>
        <w:tblW w:w="10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</w:rPr>
            </w:pPr>
            <w:bookmarkStart w:id="0" w:name="Q勾选"/>
            <w:r>
              <w:rPr>
                <w:rFonts w:hint="eastAsia"/>
                <w:b/>
              </w:rPr>
              <w:t>□</w:t>
            </w:r>
            <w:bookmarkEnd w:id="0"/>
            <w:r>
              <w:rPr>
                <w:b/>
                <w:spacing w:val="-2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</w:rPr>
              <w:t>□</w:t>
            </w:r>
            <w:bookmarkEnd w:id="1"/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0430</w:t>
            </w:r>
            <w:bookmarkStart w:id="2" w:name="E勾选"/>
            <w:r>
              <w:rPr>
                <w:rFonts w:hint="eastAsia"/>
                <w:b/>
              </w:rPr>
              <w:t>□</w:t>
            </w:r>
            <w:bookmarkEnd w:id="2"/>
            <w:r>
              <w:rPr>
                <w:b/>
                <w:spacing w:val="-2"/>
              </w:rPr>
              <w:t>EMS</w:t>
            </w:r>
            <w:bookmarkStart w:id="3" w:name="S勾选"/>
            <w:r>
              <w:rPr>
                <w:rFonts w:hint="eastAsia"/>
                <w:b/>
              </w:rPr>
              <w:t>□</w:t>
            </w:r>
            <w:bookmarkEnd w:id="3"/>
            <w:r>
              <w:rPr>
                <w:b/>
                <w:spacing w:val="-2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</w:rPr>
              <w:t>□</w:t>
            </w:r>
            <w:bookmarkEnd w:id="4"/>
            <w:r>
              <w:rPr>
                <w:rFonts w:hint="eastAsia"/>
                <w:b/>
                <w:spacing w:val="-2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</w:rPr>
              <w:t>■</w:t>
            </w:r>
            <w:bookmarkEnd w:id="5"/>
            <w:r>
              <w:rPr>
                <w:rFonts w:hint="eastAsia"/>
                <w:b/>
                <w:spacing w:val="-2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</w:rPr>
              <w:t>■</w:t>
            </w:r>
            <w:bookmarkEnd w:id="6"/>
            <w:r>
              <w:rPr>
                <w:rFonts w:hint="eastAsia"/>
                <w:b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</w:rPr>
              <w:t>□</w:t>
            </w:r>
            <w:bookmarkEnd w:id="7"/>
            <w:r>
              <w:rPr>
                <w:rFonts w:hint="eastAsia"/>
                <w:b/>
              </w:rPr>
              <w:t>再认证</w:t>
            </w:r>
            <w:bookmarkStart w:id="8" w:name="监督勾选"/>
            <w:r>
              <w:rPr>
                <w:rFonts w:hint="eastAsia"/>
                <w:b/>
              </w:rPr>
              <w:t>□</w:t>
            </w:r>
            <w:bookmarkEnd w:id="8"/>
            <w:r>
              <w:rPr>
                <w:rFonts w:hint="eastAsia"/>
                <w:b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</w:rPr>
              <w:t>□</w:t>
            </w:r>
            <w:bookmarkEnd w:id="10"/>
            <w:r>
              <w:rPr>
                <w:rFonts w:hint="eastAsia"/>
                <w:b/>
              </w:rPr>
              <w:t>特殊审核□其他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河北蒙羊食品有限责任公司</w:t>
            </w:r>
            <w:bookmarkEnd w:id="11"/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2022-01-18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没有证据表明对压力容器（储气罐）进行了检测。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800"/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王薇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 审核组长：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ind w:firstLine="480"/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ind w:firstLine="480"/>
              <w:rPr>
                <w:rFonts w:hint="default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企业已提供压力容器检测报告，进行了原因分析，制订和实施了纠正措施，建立了《特种设备台账》，不符合项可以关闭。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2021-12-29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没有证据表明对压力容器（储气罐）进行了检测。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highlight w:val="cyan"/>
                <w:lang w:val="en-US" w:eastAsia="zh-CN"/>
              </w:rPr>
            </w:pP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尽快</w:t>
            </w:r>
            <w:r>
              <w:rPr>
                <w:rFonts w:eastAsia="方正仿宋简体"/>
                <w:b/>
              </w:rPr>
              <w:t>向第三方检测机构索要一份压力容器（储气罐）的检测报告（2021年5月6日已经送检）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  2021年5月日已经送检，特种设备管理</w:t>
            </w:r>
            <w:r>
              <w:rPr>
                <w:rFonts w:hint="eastAsia" w:eastAsia="方正仿宋简体"/>
                <w:b/>
                <w:lang w:val="en-US" w:eastAsia="zh-CN"/>
              </w:rPr>
              <w:t>的</w:t>
            </w:r>
            <w:r>
              <w:rPr>
                <w:rFonts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职责不清楚，没有制订《特种设备台账》，忘记了索取检测报告</w:t>
            </w:r>
            <w:r>
              <w:rPr>
                <w:rFonts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再次学习文件并明确</w:t>
            </w:r>
            <w:r>
              <w:rPr>
                <w:rFonts w:hint="eastAsia" w:eastAsia="方正仿宋简体"/>
                <w:b/>
                <w:lang w:val="en-US" w:eastAsia="zh-CN"/>
              </w:rPr>
              <w:t>职责</w:t>
            </w:r>
            <w:r>
              <w:rPr>
                <w:rFonts w:eastAsia="方正仿宋简体"/>
                <w:b/>
              </w:rPr>
              <w:t>：特种设备、消防设备的管理归综合部，计量设备的管理归口为品控部；生产设备、制冷设备的管理归口为生产部；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各归口部门负责依法检定设备的定期检定，</w:t>
            </w:r>
            <w:r>
              <w:rPr>
                <w:rFonts w:hint="eastAsia" w:eastAsia="方正仿宋简体"/>
                <w:b/>
                <w:lang w:val="en-US" w:eastAsia="zh-CN"/>
              </w:rPr>
              <w:t>编制《特种设备台账》，及时索取检测结果</w:t>
            </w:r>
            <w:r>
              <w:rPr>
                <w:rFonts w:eastAsia="方正仿宋简体"/>
                <w:b/>
              </w:rPr>
              <w:t>。</w:t>
            </w:r>
          </w:p>
          <w:p>
            <w:pPr>
              <w:ind w:firstLine="42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>3、对有关人员进行培训，避免再次发生。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预定完成日期：2021年12月22日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核查其它</w:t>
            </w:r>
            <w:r>
              <w:rPr>
                <w:rFonts w:hint="eastAsia" w:eastAsia="方正仿宋简体"/>
                <w:b/>
                <w:lang w:val="en-US" w:eastAsia="zh-CN"/>
              </w:rPr>
              <w:t>特种</w:t>
            </w:r>
            <w:r>
              <w:rPr>
                <w:rFonts w:eastAsia="方正仿宋简体"/>
                <w:b/>
              </w:rPr>
              <w:t>设备的检定、检测报告是否齐全。</w:t>
            </w:r>
          </w:p>
          <w:p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除了叉车为新购买的正在办理手续外，没有其他特种设备。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已对纠正和纠正措施进行了整改，不符合项可以关闭。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王利玲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2021-12-28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No.2</w:t>
      </w:r>
    </w:p>
    <w:tbl>
      <w:tblPr>
        <w:tblStyle w:val="4"/>
        <w:tblW w:w="10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 xml:space="preserve">QMS    </w:t>
            </w:r>
            <w:r>
              <w:rPr>
                <w:rFonts w:hint="eastAsia"/>
                <w:b/>
              </w:rPr>
              <w:t>□5</w:t>
            </w:r>
            <w:r>
              <w:rPr>
                <w:b/>
              </w:rPr>
              <w:t>0430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EMS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OHSMS</w:t>
            </w:r>
            <w:r>
              <w:rPr>
                <w:rFonts w:hint="eastAsia"/>
                <w:b/>
                <w:spacing w:val="-2"/>
              </w:rPr>
              <w:t>□FSMS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河北蒙羊食品有限责任公司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2022-01-18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500"/>
              <w:rPr>
                <w:rFonts w:ascii="方正仿宋简体" w:eastAsia="方正仿宋简体"/>
                <w:b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没有证据表明对低温温度计进行了校准。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，王薇   审核组长：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ind w:firstLine="480"/>
              <w:rPr>
                <w:rFonts w:hint="default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ab/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企业已提供低温温度计校准证书，进行了原因分析，制订和实施了纠正措施，建立了《特种设备台账》，不符合项可以关闭。</w:t>
            </w:r>
          </w:p>
          <w:p>
            <w:pPr>
              <w:tabs>
                <w:tab w:val="left" w:pos="1237"/>
              </w:tabs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8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2021-12-29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240"/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ind w:firstLine="48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没有证据表明对低温温度计进行了校准。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723" w:firstLineChars="30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尽快</w:t>
            </w:r>
            <w:r>
              <w:rPr>
                <w:rFonts w:eastAsia="方正仿宋简体"/>
                <w:b/>
              </w:rPr>
              <w:t>送二级标准温度计（测量范围：-30℃—20℃）到检定部门进行检定。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 xml:space="preserve">    2021年9月份库房温度计检定周期到期后，相关人员</w:t>
            </w:r>
            <w:r>
              <w:rPr>
                <w:rFonts w:hint="eastAsia" w:eastAsia="方正仿宋简体"/>
                <w:b/>
                <w:lang w:val="en-US" w:eastAsia="zh-CN"/>
              </w:rPr>
              <w:t>没有编制《计量器具周检计划》忘记送检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责任部门编制《计量器具周检计划》，</w:t>
            </w:r>
            <w:r>
              <w:rPr>
                <w:rFonts w:eastAsia="方正仿宋简体"/>
                <w:b/>
              </w:rPr>
              <w:t>依法检定设备的</w:t>
            </w:r>
            <w:r>
              <w:rPr>
                <w:rFonts w:hint="eastAsia" w:eastAsia="方正仿宋简体"/>
                <w:b/>
                <w:lang w:val="en-US" w:eastAsia="zh-CN"/>
              </w:rPr>
              <w:t>周期</w:t>
            </w:r>
            <w:r>
              <w:rPr>
                <w:rFonts w:eastAsia="方正仿宋简体"/>
                <w:b/>
              </w:rPr>
              <w:t>定期检定，</w:t>
            </w:r>
            <w:r>
              <w:rPr>
                <w:rFonts w:hint="eastAsia" w:eastAsia="方正仿宋简体"/>
                <w:b/>
                <w:lang w:val="en-US" w:eastAsia="zh-CN"/>
              </w:rPr>
              <w:t>及时索取检测结果</w:t>
            </w:r>
            <w:r>
              <w:rPr>
                <w:rFonts w:eastAsia="方正仿宋简体"/>
                <w:b/>
              </w:rPr>
              <w:t xml:space="preserve">。 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2.对有关人员进行培训，避免再次发生。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预定完成日期：2021年12月23日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210" w:firstLineChars="1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eastAsia="方正仿宋简体"/>
                <w:b/>
              </w:rPr>
              <w:t>以检定合格的二级标准温度计作为标准温度计，对各冷库温度计显示温度的准确性进行比对，每周一次，偏差超过填写比对记录，出现偏差时，记录并向监测部门通知偏差值；比对偏差＞±2℃，更换库房温度计。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已对纠正和纠正措施进行了整改，不符合项可以关闭。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王利玲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2021-12-28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bookmarkStart w:id="20" w:name="_GoBack"/>
      <w:bookmarkEnd w:id="20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No.3</w:t>
      </w:r>
    </w:p>
    <w:tbl>
      <w:tblPr>
        <w:tblStyle w:val="4"/>
        <w:tblW w:w="10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 xml:space="preserve">QMS    </w:t>
            </w:r>
            <w:r>
              <w:rPr>
                <w:rFonts w:hint="eastAsia"/>
                <w:b/>
              </w:rPr>
              <w:t>□5</w:t>
            </w:r>
            <w:r>
              <w:rPr>
                <w:b/>
              </w:rPr>
              <w:t>0430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EMS</w:t>
            </w:r>
            <w:r>
              <w:rPr>
                <w:rFonts w:hint="eastAsia"/>
                <w:b/>
              </w:rPr>
              <w:t>□</w:t>
            </w:r>
            <w:r>
              <w:rPr>
                <w:b/>
                <w:spacing w:val="-2"/>
              </w:rPr>
              <w:t>OHSMS</w:t>
            </w:r>
            <w:r>
              <w:rPr>
                <w:rFonts w:hint="eastAsia"/>
                <w:b/>
                <w:spacing w:val="-2"/>
              </w:rPr>
              <w:t>□FSMS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河北蒙羊食品有限责任公司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孙红梅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2022-01-18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00"/>
              <w:rPr>
                <w:rFonts w:ascii="方正仿宋简体" w:eastAsia="方正仿宋简体"/>
                <w:b/>
                <w:highlight w:val="none"/>
                <w:u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对大豆油的供方提供的检测报告为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2020-04-08，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已超过型式检验规定6个月的规定。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  <w:szCs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审核员：</w:t>
            </w:r>
            <w:r>
              <w:rPr>
                <w:sz w:val="20"/>
              </w:rPr>
              <w:drawing>
                <wp:inline distT="0" distB="0" distL="0" distR="0">
                  <wp:extent cx="819785" cy="460375"/>
                  <wp:effectExtent l="0" t="0" r="3810" b="12700"/>
                  <wp:docPr id="19" name="图片 2" descr="3e0dc51f9455a27ad94a823abdf6d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3e0dc51f9455a27ad94a823abdf6d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1010"/>
                          </a:xfrm>
                          <a:prstGeom prst="rect">
                            <a:avLst/>
                          </a:prstGeom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         审核组长：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9" name="图片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ind w:firstLine="480"/>
              <w:rPr>
                <w:rFonts w:hint="default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企业已提供大豆油的供方的检测报告，进行了原因分析，制订和实施了纠正措施，建立了《供方资质建立台账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》，不符合项可以关闭。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34390" cy="402590"/>
                  <wp:effectExtent l="0" t="0" r="0" b="8890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2021-12-29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对大豆油的供方提供的检测报告为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2020-04-08，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已超过型式检验规定6个月的规定。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由采购部向供方索要最新的检验报告；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 供方资质查核不严谨，出现遗漏。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 1、将供方资质建立台账，每月由品控部检核一次，对于即将到期的发送至采购部进行索证索票。</w:t>
            </w:r>
          </w:p>
          <w:p>
            <w:pPr>
              <w:ind w:firstLine="42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eastAsia="方正仿宋简体"/>
                <w:b/>
              </w:rPr>
              <w:t>2、</w:t>
            </w:r>
            <w:r>
              <w:rPr>
                <w:rFonts w:hint="eastAsia" w:eastAsia="方正仿宋简体"/>
                <w:b/>
                <w:lang w:val="en-US" w:eastAsia="zh-CN"/>
              </w:rPr>
              <w:t>对有关人员进行培训，避免再次发生。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预定完成日期：2021年12月21日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查看其他供方的资料是否有过期的情况，及时更新。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已对纠正和纠正措施进行了整改，不符合项可以关闭。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王利玲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2021-12-28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简体">
    <w:altName w:val="微软雅黑"/>
    <w:panose1 w:val="00000000000000000000"/>
    <w:charset w:val="52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tabs>
        <w:tab w:val="left" w:pos="8910"/>
        <w:tab w:val="left" w:pos="9142"/>
        <w:tab w:val="clear" w:pos="4153"/>
      </w:tabs>
      <w:spacing w:line="320" w:lineRule="exact"/>
      <w:ind w:left="-181" w:leftChars="-86" w:firstLine="450"/>
      <w:jc w:val="left"/>
      <w:rPr>
        <w:rStyle w:val="9"/>
        <w:rFonts w:hint="default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6410" cy="486410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rPr>
        <w:sz w:val="20"/>
      </w:rPr>
      <w:pict>
        <v:shape id="_x0000_s1025" o:spid="_x0000_s1025" o:spt="202" type="#_x0000_t202" style="position:absolute;left:0pt;margin-left:400pt;margin-top:10pt;height:20.2pt;width:88.1pt;z-index:251659264;mso-width-relative:page;mso-height-relative:page;" fillcolor="#FFFFFF" filled="t" o:preferrelative="t" stroked="f" coordsize="21600,21600">
          <v:path/>
          <v:fill on="t" focussize="0,0"/>
          <v:stroke on="f" joinstyle="miter"/>
          <v:imagedata o:title=""/>
          <o:lock v:ext="edit"/>
          <v:textbox inset="7pt,4pt,7pt,4pt"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single" w:color="000000" w:sz="4" w:space="1"/>
      </w:pBdr>
      <w:spacing w:line="320" w:lineRule="exact"/>
      <w:ind w:firstLine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F5646"/>
    <w:multiLevelType w:val="singleLevel"/>
    <w:tmpl w:val="B96F5646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329591D1"/>
    <w:multiLevelType w:val="singleLevel"/>
    <w:tmpl w:val="329591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000000"/>
    <w:rsid w:val="1ABA70D2"/>
    <w:rsid w:val="2CB3404F"/>
    <w:rsid w:val="39A95B89"/>
    <w:rsid w:val="4FA94507"/>
    <w:rsid w:val="56311F6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2" w:semiHidden="0" w:name="header"/>
    <w:lsdException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2"/>
  </w:style>
  <w:style w:type="table" w:default="1" w:styleId="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152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26"/>
    <w:pPr>
      <w:ind w:firstLine="200"/>
    </w:pPr>
  </w:style>
  <w:style w:type="character" w:customStyle="1" w:styleId="7">
    <w:name w:val="页眉 Char"/>
    <w:basedOn w:val="5"/>
    <w:link w:val="3"/>
    <w:qFormat/>
    <w:uiPriority w:val="153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154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uiPriority w:val="155"/>
    <w:rPr>
      <w:rFonts w:hint="eastAsia" w:ascii="宋体" w:hAnsi="Courier New" w:eastAsia="宋体"/>
      <w:sz w:val="21"/>
      <w:szCs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156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133</Words>
  <Characters>0</Characters>
  <Lines>6</Lines>
  <Paragraphs>1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2021-12-22T00:15:00Z</dcterms:created>
  <dc:creator>微软用户</dc:creator>
  <cp:lastModifiedBy>和为贵</cp:lastModifiedBy>
  <dcterms:modified xsi:type="dcterms:W3CDTF">2021-12-29T01:00:30Z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AA0C9C70A1FC4F72B5222FE7A1BF34D5</vt:lpwstr>
  </property>
</Properties>
</file>