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10403-2024-Q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764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北京贝特斯威医药科技有限公司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851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p>
        </w:tc>
        <w:tc>
          <w:tcPr>
            <w:tcW w:w="2268" w:type="dxa"/>
            <w:vAlign w:val="center"/>
          </w:tcPr>
          <w:p w14:paraId="70D2FD6D">
            <w:pPr>
              <w:spacing w:line="360" w:lineRule="auto"/>
              <w:jc w:val="center"/>
            </w:pP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[审核时间（无时间）]实施审核。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Q:翻译服务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北京市丰台区芳菲路60号院2号楼4层414</w:t>
      </w:r>
    </w:p>
    <w:p w14:paraId="1FCA9815">
      <w:pPr>
        <w:spacing w:line="360" w:lineRule="auto"/>
        <w:ind w:firstLine="420" w:firstLineChars="200"/>
      </w:pPr>
      <w:r>
        <w:rPr>
          <w:rFonts w:hint="eastAsia"/>
        </w:rPr>
        <w:t>办公地址：</w:t>
      </w:r>
      <w:r>
        <w:rPr>
          <w:rFonts w:hint="eastAsia"/>
        </w:rPr>
        <w:t>北京市丰台区芳菲路60号院2号楼4层414</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北京市丰台区芳菲路60号院2号楼4层414</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北京贝特斯威医药科技有限公司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 xml:space="preserve">  </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714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