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楷体" w:hAnsi="楷体" w:eastAsia="楷体"/>
          <w:sz w:val="24"/>
          <w:szCs w:val="24"/>
        </w:rPr>
      </w:pPr>
    </w:p>
    <w:p>
      <w:pPr>
        <w:spacing w:line="480" w:lineRule="exact"/>
        <w:jc w:val="center"/>
        <w:rPr>
          <w:rFonts w:ascii="楷体" w:hAnsi="楷体" w:eastAsia="楷体"/>
          <w:b/>
          <w:bCs/>
          <w:sz w:val="44"/>
          <w:szCs w:val="44"/>
        </w:rPr>
      </w:pPr>
      <w:r>
        <w:rPr>
          <w:rFonts w:hint="eastAsia" w:ascii="楷体" w:hAnsi="楷体" w:eastAsia="楷体"/>
          <w:b/>
          <w:bCs/>
          <w:sz w:val="44"/>
          <w:szCs w:val="44"/>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spacing w:line="280" w:lineRule="exact"/>
              <w:rPr>
                <w:rFonts w:hint="eastAsia"/>
                <w:lang w:val="en-US" w:eastAsia="zh-CN"/>
              </w:rPr>
            </w:pPr>
            <w:r>
              <w:rPr>
                <w:rFonts w:hint="eastAsia"/>
                <w:lang w:val="en-US" w:eastAsia="zh-CN"/>
              </w:rPr>
              <w:t>涉及</w:t>
            </w:r>
          </w:p>
          <w:p>
            <w:pPr>
              <w:spacing w:line="280" w:lineRule="exact"/>
              <w:rPr>
                <w:rFonts w:hint="eastAsia"/>
                <w:lang w:val="en-US" w:eastAsia="zh-CN"/>
              </w:rPr>
            </w:pPr>
            <w:r>
              <w:rPr>
                <w:rFonts w:hint="eastAsia"/>
                <w:lang w:val="en-US" w:eastAsia="zh-CN"/>
              </w:rPr>
              <w:t>条款</w:t>
            </w:r>
          </w:p>
        </w:tc>
        <w:tc>
          <w:tcPr>
            <w:tcW w:w="10455" w:type="dxa"/>
            <w:vAlign w:val="center"/>
          </w:tcPr>
          <w:p>
            <w:pPr>
              <w:spacing w:line="280" w:lineRule="exact"/>
              <w:rPr>
                <w:rFonts w:hint="eastAsia"/>
                <w:lang w:val="en-US" w:eastAsia="zh-CN"/>
              </w:rPr>
            </w:pPr>
            <w:r>
              <w:rPr>
                <w:rFonts w:hint="eastAsia"/>
                <w:lang w:val="en-US" w:eastAsia="zh-CN"/>
              </w:rPr>
              <w:t xml:space="preserve">受审核部门：采购部   主管领导/陪同人员 戴瑶/彭秋香  </w:t>
            </w:r>
          </w:p>
        </w:tc>
        <w:tc>
          <w:tcPr>
            <w:tcW w:w="1134"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color w:val="FF0000"/>
                <w:sz w:val="21"/>
                <w:szCs w:val="21"/>
              </w:rPr>
            </w:pPr>
          </w:p>
        </w:tc>
        <w:tc>
          <w:tcPr>
            <w:tcW w:w="960" w:type="dxa"/>
            <w:vMerge w:val="continue"/>
            <w:vAlign w:val="center"/>
          </w:tcPr>
          <w:p>
            <w:pPr>
              <w:spacing w:line="280" w:lineRule="exact"/>
              <w:rPr>
                <w:rFonts w:hint="eastAsia"/>
                <w:lang w:val="en-US" w:eastAsia="zh-CN"/>
              </w:rPr>
            </w:pPr>
          </w:p>
        </w:tc>
        <w:tc>
          <w:tcPr>
            <w:tcW w:w="10455" w:type="dxa"/>
            <w:vAlign w:val="center"/>
          </w:tcPr>
          <w:p>
            <w:pPr>
              <w:spacing w:line="280" w:lineRule="exact"/>
              <w:rPr>
                <w:rFonts w:hint="eastAsia"/>
                <w:lang w:val="en-US" w:eastAsia="zh-CN"/>
              </w:rPr>
            </w:pPr>
            <w:r>
              <w:rPr>
                <w:rFonts w:hint="eastAsia"/>
                <w:lang w:val="en-US" w:eastAsia="zh-CN"/>
              </w:rPr>
              <w:t>审核员：王献华Q  林兵EO    审核时间：2021.12.4</w:t>
            </w:r>
          </w:p>
        </w:tc>
        <w:tc>
          <w:tcPr>
            <w:tcW w:w="1134" w:type="dxa"/>
            <w:vMerge w:val="continue"/>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color w:val="FF0000"/>
                <w:sz w:val="21"/>
                <w:szCs w:val="21"/>
              </w:rPr>
            </w:pPr>
          </w:p>
        </w:tc>
        <w:tc>
          <w:tcPr>
            <w:tcW w:w="960" w:type="dxa"/>
            <w:vMerge w:val="continue"/>
            <w:vAlign w:val="center"/>
          </w:tcPr>
          <w:p>
            <w:pPr>
              <w:spacing w:line="280" w:lineRule="exact"/>
              <w:rPr>
                <w:rFonts w:hint="eastAsia"/>
                <w:lang w:val="en-US" w:eastAsia="zh-CN"/>
              </w:rPr>
            </w:pPr>
          </w:p>
        </w:tc>
        <w:tc>
          <w:tcPr>
            <w:tcW w:w="10455" w:type="dxa"/>
            <w:vAlign w:val="center"/>
          </w:tcPr>
          <w:p>
            <w:pPr>
              <w:spacing w:line="280" w:lineRule="exact"/>
              <w:rPr>
                <w:rFonts w:hint="eastAsia"/>
                <w:lang w:val="en-US" w:eastAsia="zh-CN"/>
              </w:rPr>
            </w:pPr>
            <w:r>
              <w:rPr>
                <w:rFonts w:hint="eastAsia"/>
                <w:lang w:val="de-DE" w:eastAsia="zh-CN"/>
              </w:rPr>
              <w:t>Q</w:t>
            </w:r>
            <w:r>
              <w:rPr>
                <w:rFonts w:hint="eastAsia"/>
                <w:lang w:val="en-US" w:eastAsia="zh-CN"/>
              </w:rPr>
              <w:t>EO:5.3岗位/职责 /权限；6.2QEO目标及其实现的策划；</w:t>
            </w:r>
          </w:p>
          <w:p>
            <w:pPr>
              <w:spacing w:line="280" w:lineRule="exact"/>
              <w:rPr>
                <w:rFonts w:hint="eastAsia"/>
                <w:lang w:val="en-US" w:eastAsia="zh-CN"/>
              </w:rPr>
            </w:pPr>
            <w:r>
              <w:rPr>
                <w:rFonts w:hint="eastAsia"/>
                <w:lang w:val="en-US" w:eastAsia="zh-CN"/>
              </w:rPr>
              <w:t>EO：6.1.2环境因素/危险源识别、8.1运行的策划与控制、8.2应急准备和响应</w:t>
            </w:r>
          </w:p>
          <w:p>
            <w:pPr>
              <w:spacing w:line="280" w:lineRule="exact"/>
              <w:rPr>
                <w:rFonts w:hint="default"/>
                <w:lang w:val="en-US" w:eastAsia="zh-CN"/>
              </w:rPr>
            </w:pPr>
            <w:r>
              <w:rPr>
                <w:rFonts w:hint="eastAsia"/>
                <w:lang w:val="en-US" w:eastAsia="zh-CN"/>
              </w:rPr>
              <w:t xml:space="preserve">Q：8.4外部提供供方的控制；8.5.3顾客或外部供方的财产 </w:t>
            </w:r>
          </w:p>
        </w:tc>
        <w:tc>
          <w:tcPr>
            <w:tcW w:w="1134" w:type="dxa"/>
            <w:vMerge w:val="continue"/>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160" w:type="dxa"/>
          </w:tcPr>
          <w:p>
            <w:pPr>
              <w:adjustRightInd w:val="0"/>
              <w:snapToGrid w:val="0"/>
              <w:spacing w:line="320" w:lineRule="exact"/>
              <w:ind w:right="105" w:rightChars="50"/>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组织的岗位职责和权限</w:t>
            </w:r>
          </w:p>
          <w:p>
            <w:pPr>
              <w:adjustRightInd w:val="0"/>
              <w:snapToGrid w:val="0"/>
              <w:spacing w:line="320" w:lineRule="exact"/>
              <w:ind w:right="105" w:rightChars="50" w:firstLine="420" w:firstLineChars="200"/>
              <w:textAlignment w:val="baseline"/>
              <w:rPr>
                <w:rFonts w:hint="eastAsia" w:ascii="Times New Roman" w:hAnsi="Times New Roman" w:eastAsia="宋体" w:cs="Times New Roman"/>
                <w:lang w:val="en-US" w:eastAsia="zh-CN"/>
              </w:rPr>
            </w:pPr>
          </w:p>
        </w:tc>
        <w:tc>
          <w:tcPr>
            <w:tcW w:w="960" w:type="dxa"/>
          </w:tcPr>
          <w:p>
            <w:pPr>
              <w:adjustRightInd w:val="0"/>
              <w:snapToGrid w:val="0"/>
              <w:spacing w:line="320" w:lineRule="exact"/>
              <w:ind w:right="105" w:rightChars="50"/>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QEO5.3</w:t>
            </w:r>
          </w:p>
          <w:p>
            <w:pPr>
              <w:adjustRightInd w:val="0"/>
              <w:snapToGrid w:val="0"/>
              <w:spacing w:line="320" w:lineRule="exact"/>
              <w:ind w:right="105" w:rightChars="50" w:firstLine="420" w:firstLineChars="200"/>
              <w:textAlignment w:val="baseline"/>
              <w:rPr>
                <w:rFonts w:hint="eastAsia" w:ascii="Times New Roman" w:hAnsi="Times New Roman" w:eastAsia="宋体" w:cs="Times New Roman"/>
                <w:lang w:val="en-US" w:eastAsia="zh-CN"/>
              </w:rPr>
            </w:pPr>
          </w:p>
          <w:p>
            <w:pPr>
              <w:adjustRightInd w:val="0"/>
              <w:snapToGrid w:val="0"/>
              <w:spacing w:line="320" w:lineRule="exact"/>
              <w:ind w:right="105" w:rightChars="50" w:firstLine="420" w:firstLineChars="200"/>
              <w:textAlignment w:val="baseline"/>
              <w:rPr>
                <w:rFonts w:hint="eastAsia" w:ascii="Times New Roman" w:hAnsi="Times New Roman" w:eastAsia="宋体" w:cs="Times New Roman"/>
                <w:lang w:val="en-US" w:eastAsia="zh-CN"/>
              </w:rPr>
            </w:pPr>
          </w:p>
        </w:tc>
        <w:tc>
          <w:tcPr>
            <w:tcW w:w="10455" w:type="dxa"/>
            <w:vAlign w:val="center"/>
          </w:tcPr>
          <w:p>
            <w:pPr>
              <w:adjustRightInd w:val="0"/>
              <w:snapToGrid w:val="0"/>
              <w:spacing w:line="320" w:lineRule="exact"/>
              <w:ind w:right="105" w:rightChars="50" w:firstLine="420" w:firstLineChars="200"/>
              <w:textAlignment w:val="baseline"/>
              <w:rPr>
                <w:rFonts w:hint="eastAsia"/>
                <w:lang w:val="en-US" w:eastAsia="zh-CN"/>
              </w:rPr>
            </w:pPr>
            <w:r>
              <w:rPr>
                <w:rFonts w:hint="eastAsia"/>
                <w:lang w:val="en-US" w:eastAsia="zh-CN"/>
              </w:rPr>
              <w:t>审核发现行政部主要负责以下工作内容：</w:t>
            </w:r>
          </w:p>
          <w:p>
            <w:pPr>
              <w:spacing w:line="28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1.负责编制供应商管理制度，构建供应商管理体系，包括供应商引入制度及考评机制等；</w:t>
            </w:r>
          </w:p>
          <w:p>
            <w:pPr>
              <w:spacing w:line="28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2.负责公司原材料的采购，以及外包方的控制；</w:t>
            </w:r>
          </w:p>
          <w:p>
            <w:pPr>
              <w:spacing w:line="28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3.贯彻实施公司的质量、环境和职业健康安全及企业管理方针、目标、指标和管理方案；</w:t>
            </w:r>
          </w:p>
          <w:p>
            <w:pPr>
              <w:spacing w:line="28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4.对本部门环境因素、危险源进行辨识和评价，制订控制措施；</w:t>
            </w:r>
          </w:p>
          <w:p>
            <w:pPr>
              <w:spacing w:line="28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5.参与公司组织的应急演练；</w:t>
            </w:r>
          </w:p>
          <w:p>
            <w:pPr>
              <w:spacing w:line="280" w:lineRule="exact"/>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6.对工作场所进行风险控制，保护环境。</w:t>
            </w:r>
          </w:p>
          <w:p>
            <w:pPr>
              <w:spacing w:line="280" w:lineRule="exact"/>
              <w:ind w:firstLine="420"/>
              <w:jc w:val="both"/>
              <w:rPr>
                <w:rFonts w:ascii="楷体" w:hAnsi="楷体" w:eastAsia="楷体"/>
                <w:b/>
                <w:sz w:val="24"/>
                <w:szCs w:val="24"/>
              </w:rPr>
            </w:pPr>
            <w:r>
              <w:rPr>
                <w:rFonts w:hint="eastAsia"/>
                <w:lang w:val="en-US" w:eastAsia="zh-CN"/>
              </w:rPr>
              <w:t>与采购部负责人戴瑶沟通，描述的职责和权限与一体化管理体系的职能分配表基本一致。</w:t>
            </w:r>
          </w:p>
        </w:tc>
        <w:tc>
          <w:tcPr>
            <w:tcW w:w="1134" w:type="dxa"/>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2160" w:type="dxa"/>
          </w:tcPr>
          <w:p>
            <w:pPr>
              <w:adjustRightInd w:val="0"/>
              <w:snapToGrid w:val="0"/>
              <w:spacing w:line="320" w:lineRule="exact"/>
              <w:ind w:right="105" w:rightChars="50"/>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环境因素/危险源识别</w:t>
            </w:r>
          </w:p>
        </w:tc>
        <w:tc>
          <w:tcPr>
            <w:tcW w:w="960" w:type="dxa"/>
          </w:tcPr>
          <w:p>
            <w:pPr>
              <w:adjustRightInd w:val="0"/>
              <w:snapToGrid w:val="0"/>
              <w:spacing w:line="320" w:lineRule="exact"/>
              <w:ind w:right="105" w:rightChars="50"/>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EO6.1.2</w:t>
            </w:r>
          </w:p>
        </w:tc>
        <w:tc>
          <w:tcPr>
            <w:tcW w:w="10455" w:type="dxa"/>
            <w:vAlign w:val="center"/>
          </w:tcPr>
          <w:p>
            <w:pPr>
              <w:adjustRightInd w:val="0"/>
              <w:snapToGrid w:val="0"/>
              <w:spacing w:line="320" w:lineRule="exact"/>
              <w:ind w:right="105" w:rightChars="50" w:firstLine="420" w:firstLineChars="200"/>
              <w:textAlignment w:val="baseline"/>
              <w:rPr>
                <w:rFonts w:hint="eastAsia"/>
                <w:lang w:val="en-US" w:eastAsia="zh-CN"/>
              </w:rPr>
            </w:pPr>
            <w:r>
              <w:rPr>
                <w:rFonts w:hint="eastAsia"/>
                <w:lang w:val="en-US" w:eastAsia="zh-CN"/>
              </w:rPr>
              <w:t>部门负责人戴瑶介绍：采购部根据程序要求，对环境因素、危险源进行了辨识。</w:t>
            </w:r>
          </w:p>
          <w:p>
            <w:pPr>
              <w:adjustRightInd w:val="0"/>
              <w:snapToGrid w:val="0"/>
              <w:spacing w:line="320" w:lineRule="exact"/>
              <w:ind w:right="105" w:rightChars="50" w:firstLine="420" w:firstLineChars="200"/>
              <w:textAlignment w:val="baseline"/>
              <w:rPr>
                <w:rFonts w:hint="eastAsia"/>
                <w:lang w:val="en-US" w:eastAsia="zh-CN"/>
              </w:rPr>
            </w:pPr>
            <w:r>
              <w:rPr>
                <w:rFonts w:hint="eastAsia"/>
                <w:lang w:val="en-US" w:eastAsia="zh-CN"/>
              </w:rPr>
              <w:t>查《环境因素识别评价表》和《重要环境因素清单》，采购部涉及的重要环境因素如下：</w:t>
            </w:r>
          </w:p>
          <w:tbl>
            <w:tblPr>
              <w:tblStyle w:val="6"/>
              <w:tblW w:w="9730"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360"/>
              <w:gridCol w:w="3157"/>
              <w:gridCol w:w="1843"/>
              <w:gridCol w:w="123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30" w:type="dxa"/>
                  <w:noWrap w:val="0"/>
                  <w:vAlign w:val="center"/>
                </w:tcPr>
                <w:p>
                  <w:pPr>
                    <w:jc w:val="center"/>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序号</w:t>
                  </w:r>
                </w:p>
              </w:tc>
              <w:tc>
                <w:tcPr>
                  <w:tcW w:w="1360" w:type="dxa"/>
                  <w:noWrap w:val="0"/>
                  <w:vAlign w:val="center"/>
                </w:tcPr>
                <w:p>
                  <w:pPr>
                    <w:jc w:val="both"/>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环境因素</w:t>
                  </w:r>
                </w:p>
              </w:tc>
              <w:tc>
                <w:tcPr>
                  <w:tcW w:w="3157" w:type="dxa"/>
                  <w:noWrap w:val="0"/>
                  <w:vAlign w:val="center"/>
                </w:tcPr>
                <w:p>
                  <w:pPr>
                    <w:jc w:val="both"/>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活动点/工序或部位</w:t>
                  </w:r>
                </w:p>
              </w:tc>
              <w:tc>
                <w:tcPr>
                  <w:tcW w:w="1843" w:type="dxa"/>
                  <w:noWrap w:val="0"/>
                  <w:vAlign w:val="center"/>
                </w:tcPr>
                <w:p>
                  <w:pPr>
                    <w:ind w:left="-737" w:leftChars="-351" w:firstLine="644" w:firstLineChars="307"/>
                    <w:jc w:val="both"/>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环境影响</w:t>
                  </w:r>
                </w:p>
              </w:tc>
              <w:tc>
                <w:tcPr>
                  <w:tcW w:w="1230" w:type="dxa"/>
                  <w:noWrap w:val="0"/>
                  <w:vAlign w:val="center"/>
                </w:tcPr>
                <w:p>
                  <w:pPr>
                    <w:jc w:val="center"/>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时态/状态</w:t>
                  </w:r>
                </w:p>
              </w:tc>
              <w:tc>
                <w:tcPr>
                  <w:tcW w:w="1710" w:type="dxa"/>
                  <w:noWrap w:val="0"/>
                  <w:vAlign w:val="center"/>
                </w:tcPr>
                <w:p>
                  <w:pPr>
                    <w:jc w:val="center"/>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管理控制方式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430" w:type="dxa"/>
                  <w:noWrap w:val="0"/>
                  <w:vAlign w:val="center"/>
                </w:tcPr>
                <w:p>
                  <w:pPr>
                    <w:jc w:val="center"/>
                    <w:rPr>
                      <w:rFonts w:hint="eastAsia" w:ascii="宋体" w:hAnsi="宋体" w:eastAsia="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1</w:t>
                  </w:r>
                </w:p>
              </w:tc>
              <w:tc>
                <w:tcPr>
                  <w:tcW w:w="1360" w:type="dxa"/>
                  <w:noWrap w:val="0"/>
                  <w:vAlign w:val="center"/>
                </w:tcPr>
                <w:p>
                  <w:pPr>
                    <w:jc w:val="both"/>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废水的排放</w:t>
                  </w:r>
                </w:p>
              </w:tc>
              <w:tc>
                <w:tcPr>
                  <w:tcW w:w="3157" w:type="dxa"/>
                  <w:noWrap w:val="0"/>
                  <w:vAlign w:val="center"/>
                </w:tcPr>
                <w:p>
                  <w:pPr>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生活废水的排放</w:t>
                  </w:r>
                </w:p>
              </w:tc>
              <w:tc>
                <w:tcPr>
                  <w:tcW w:w="1843" w:type="dxa"/>
                  <w:noWrap w:val="0"/>
                  <w:vAlign w:val="center"/>
                </w:tcPr>
                <w:p>
                  <w:pPr>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水体污染</w:t>
                  </w:r>
                </w:p>
              </w:tc>
              <w:tc>
                <w:tcPr>
                  <w:tcW w:w="1230" w:type="dxa"/>
                  <w:noWrap w:val="0"/>
                  <w:vAlign w:val="center"/>
                </w:tcPr>
                <w:p>
                  <w:pPr>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现在/正常</w:t>
                  </w:r>
                </w:p>
              </w:tc>
              <w:tc>
                <w:tcPr>
                  <w:tcW w:w="1710" w:type="dxa"/>
                  <w:noWrap w:val="0"/>
                  <w:vAlign w:val="center"/>
                </w:tcPr>
                <w:p>
                  <w:pPr>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管理方案/环境影响运行控制程序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trPr>
              <w:tc>
                <w:tcPr>
                  <w:tcW w:w="430" w:type="dxa"/>
                  <w:vMerge w:val="restart"/>
                  <w:noWrap w:val="0"/>
                  <w:vAlign w:val="center"/>
                </w:tcPr>
                <w:p>
                  <w:pPr>
                    <w:jc w:val="center"/>
                    <w:rPr>
                      <w:rFonts w:hint="eastAsia" w:ascii="宋体" w:hAnsi="宋体" w:eastAsia="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2</w:t>
                  </w:r>
                </w:p>
              </w:tc>
              <w:tc>
                <w:tcPr>
                  <w:tcW w:w="1360" w:type="dxa"/>
                  <w:vMerge w:val="restart"/>
                  <w:noWrap w:val="0"/>
                  <w:vAlign w:val="center"/>
                </w:tcPr>
                <w:p>
                  <w:pPr>
                    <w:jc w:val="both"/>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资源的消耗</w:t>
                  </w:r>
                </w:p>
              </w:tc>
              <w:tc>
                <w:tcPr>
                  <w:tcW w:w="3157" w:type="dxa"/>
                  <w:noWrap w:val="0"/>
                  <w:vAlign w:val="center"/>
                </w:tcPr>
                <w:p>
                  <w:pPr>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生产用电、水等的消耗</w:t>
                  </w:r>
                </w:p>
              </w:tc>
              <w:tc>
                <w:tcPr>
                  <w:tcW w:w="1843" w:type="dxa"/>
                  <w:vMerge w:val="restart"/>
                  <w:noWrap w:val="0"/>
                  <w:vAlign w:val="top"/>
                </w:tcPr>
                <w:p>
                  <w:pPr>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资源消耗</w:t>
                  </w:r>
                </w:p>
              </w:tc>
              <w:tc>
                <w:tcPr>
                  <w:tcW w:w="1230" w:type="dxa"/>
                  <w:vMerge w:val="restart"/>
                  <w:noWrap w:val="0"/>
                  <w:vAlign w:val="top"/>
                </w:tcPr>
                <w:p>
                  <w:pPr>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现在/正常</w:t>
                  </w:r>
                </w:p>
              </w:tc>
              <w:tc>
                <w:tcPr>
                  <w:tcW w:w="1710" w:type="dxa"/>
                  <w:vMerge w:val="restart"/>
                  <w:noWrap w:val="0"/>
                  <w:vAlign w:val="top"/>
                </w:tcPr>
                <w:p>
                  <w:pPr>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trPr>
              <w:tc>
                <w:tcPr>
                  <w:tcW w:w="430" w:type="dxa"/>
                  <w:vMerge w:val="continue"/>
                  <w:noWrap w:val="0"/>
                  <w:vAlign w:val="center"/>
                </w:tcPr>
                <w:p>
                  <w:pPr>
                    <w:jc w:val="center"/>
                    <w:rPr>
                      <w:rFonts w:hint="eastAsia" w:ascii="宋体" w:hAnsi="宋体" w:eastAsia="宋体" w:cs="宋体"/>
                      <w:bCs w:val="0"/>
                      <w:spacing w:val="0"/>
                      <w:kern w:val="2"/>
                      <w:sz w:val="21"/>
                      <w:szCs w:val="21"/>
                      <w:lang w:val="en-US" w:eastAsia="zh-CN" w:bidi="ar-SA"/>
                    </w:rPr>
                  </w:pPr>
                </w:p>
              </w:tc>
              <w:tc>
                <w:tcPr>
                  <w:tcW w:w="1360" w:type="dxa"/>
                  <w:vMerge w:val="continue"/>
                  <w:noWrap w:val="0"/>
                  <w:vAlign w:val="center"/>
                </w:tcPr>
                <w:p>
                  <w:pPr>
                    <w:jc w:val="center"/>
                    <w:rPr>
                      <w:rFonts w:hint="eastAsia" w:ascii="宋体" w:hAnsi="宋体" w:eastAsia="宋体" w:cs="宋体"/>
                      <w:bCs w:val="0"/>
                      <w:spacing w:val="0"/>
                      <w:kern w:val="2"/>
                      <w:sz w:val="21"/>
                      <w:szCs w:val="21"/>
                      <w:lang w:val="en-US" w:eastAsia="zh-CN" w:bidi="ar-SA"/>
                    </w:rPr>
                  </w:pPr>
                </w:p>
              </w:tc>
              <w:tc>
                <w:tcPr>
                  <w:tcW w:w="3157" w:type="dxa"/>
                  <w:noWrap w:val="0"/>
                  <w:vAlign w:val="center"/>
                </w:tcPr>
                <w:p>
                  <w:pPr>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办公用电、水等的消耗</w:t>
                  </w:r>
                </w:p>
              </w:tc>
              <w:tc>
                <w:tcPr>
                  <w:tcW w:w="1843" w:type="dxa"/>
                  <w:vMerge w:val="continue"/>
                  <w:noWrap w:val="0"/>
                  <w:vAlign w:val="top"/>
                </w:tcPr>
                <w:p>
                  <w:pPr>
                    <w:rPr>
                      <w:rFonts w:hint="eastAsia" w:ascii="宋体" w:hAnsi="宋体" w:eastAsia="宋体" w:cs="宋体"/>
                      <w:bCs w:val="0"/>
                      <w:spacing w:val="0"/>
                      <w:kern w:val="2"/>
                      <w:sz w:val="21"/>
                      <w:szCs w:val="21"/>
                      <w:lang w:val="en-US" w:eastAsia="zh-CN" w:bidi="ar-SA"/>
                    </w:rPr>
                  </w:pPr>
                </w:p>
              </w:tc>
              <w:tc>
                <w:tcPr>
                  <w:tcW w:w="1230" w:type="dxa"/>
                  <w:vMerge w:val="continue"/>
                  <w:noWrap w:val="0"/>
                  <w:vAlign w:val="top"/>
                </w:tcPr>
                <w:p>
                  <w:pPr>
                    <w:rPr>
                      <w:rFonts w:hint="eastAsia" w:ascii="宋体" w:hAnsi="宋体" w:eastAsia="宋体" w:cs="宋体"/>
                      <w:bCs w:val="0"/>
                      <w:spacing w:val="0"/>
                      <w:kern w:val="2"/>
                      <w:sz w:val="21"/>
                      <w:szCs w:val="21"/>
                      <w:lang w:val="en-US" w:eastAsia="zh-CN" w:bidi="ar-SA"/>
                    </w:rPr>
                  </w:pPr>
                </w:p>
              </w:tc>
              <w:tc>
                <w:tcPr>
                  <w:tcW w:w="1710" w:type="dxa"/>
                  <w:vMerge w:val="continue"/>
                  <w:noWrap w:val="0"/>
                  <w:vAlign w:val="top"/>
                </w:tcPr>
                <w:p>
                  <w:pPr>
                    <w:rPr>
                      <w:rFonts w:hint="eastAsia" w:ascii="宋体" w:hAnsi="宋体" w:eastAsia="宋体" w:cs="宋体"/>
                      <w:bCs w:val="0"/>
                      <w:spacing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430" w:type="dxa"/>
                  <w:vMerge w:val="restart"/>
                  <w:noWrap w:val="0"/>
                  <w:vAlign w:val="center"/>
                </w:tcPr>
                <w:p>
                  <w:pPr>
                    <w:jc w:val="center"/>
                    <w:rPr>
                      <w:rFonts w:hint="eastAsia" w:ascii="宋体" w:hAnsi="宋体" w:eastAsia="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3</w:t>
                  </w:r>
                </w:p>
              </w:tc>
              <w:tc>
                <w:tcPr>
                  <w:tcW w:w="1360" w:type="dxa"/>
                  <w:vMerge w:val="restart"/>
                  <w:noWrap w:val="0"/>
                  <w:vAlign w:val="center"/>
                </w:tcPr>
                <w:p>
                  <w:pPr>
                    <w:jc w:val="both"/>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潜在火灾事故的发生</w:t>
                  </w:r>
                </w:p>
              </w:tc>
              <w:tc>
                <w:tcPr>
                  <w:tcW w:w="3157" w:type="dxa"/>
                  <w:tcBorders>
                    <w:bottom w:val="single" w:color="auto" w:sz="4" w:space="0"/>
                  </w:tcBorders>
                  <w:noWrap w:val="0"/>
                  <w:vAlign w:val="center"/>
                </w:tcPr>
                <w:p>
                  <w:pPr>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办公室的易燃物品管理不慎，吸烟等明火引发的火灾</w:t>
                  </w:r>
                </w:p>
              </w:tc>
              <w:tc>
                <w:tcPr>
                  <w:tcW w:w="1843" w:type="dxa"/>
                  <w:vMerge w:val="restart"/>
                  <w:noWrap w:val="0"/>
                  <w:vAlign w:val="center"/>
                </w:tcPr>
                <w:p>
                  <w:pPr>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大气等综合性污染</w:t>
                  </w:r>
                </w:p>
              </w:tc>
              <w:tc>
                <w:tcPr>
                  <w:tcW w:w="1230" w:type="dxa"/>
                  <w:vMerge w:val="restart"/>
                  <w:noWrap w:val="0"/>
                  <w:vAlign w:val="center"/>
                </w:tcPr>
                <w:p>
                  <w:pPr>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将来/紧急</w:t>
                  </w:r>
                </w:p>
              </w:tc>
              <w:tc>
                <w:tcPr>
                  <w:tcW w:w="1710" w:type="dxa"/>
                  <w:vMerge w:val="restart"/>
                  <w:noWrap w:val="0"/>
                  <w:vAlign w:val="center"/>
                </w:tcPr>
                <w:p>
                  <w:pPr>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管理方案/应急准备和响应控制程序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430" w:type="dxa"/>
                  <w:vMerge w:val="continue"/>
                  <w:noWrap w:val="0"/>
                  <w:vAlign w:val="center"/>
                </w:tcPr>
                <w:p>
                  <w:pPr>
                    <w:jc w:val="center"/>
                    <w:rPr>
                      <w:rFonts w:hint="eastAsia" w:ascii="宋体" w:hAnsi="宋体" w:eastAsia="宋体" w:cs="宋体"/>
                      <w:bCs w:val="0"/>
                      <w:spacing w:val="0"/>
                      <w:kern w:val="2"/>
                      <w:sz w:val="21"/>
                      <w:szCs w:val="21"/>
                      <w:lang w:val="en-US" w:eastAsia="zh-CN" w:bidi="ar-SA"/>
                    </w:rPr>
                  </w:pPr>
                </w:p>
              </w:tc>
              <w:tc>
                <w:tcPr>
                  <w:tcW w:w="1360" w:type="dxa"/>
                  <w:vMerge w:val="continue"/>
                  <w:noWrap w:val="0"/>
                  <w:vAlign w:val="center"/>
                </w:tcPr>
                <w:p>
                  <w:pPr>
                    <w:jc w:val="center"/>
                    <w:rPr>
                      <w:rFonts w:hint="eastAsia" w:ascii="宋体" w:hAnsi="宋体" w:eastAsia="宋体" w:cs="宋体"/>
                      <w:bCs w:val="0"/>
                      <w:spacing w:val="0"/>
                      <w:kern w:val="2"/>
                      <w:sz w:val="21"/>
                      <w:szCs w:val="21"/>
                      <w:lang w:val="en-US" w:eastAsia="zh-CN" w:bidi="ar-SA"/>
                    </w:rPr>
                  </w:pPr>
                </w:p>
              </w:tc>
              <w:tc>
                <w:tcPr>
                  <w:tcW w:w="3157" w:type="dxa"/>
                  <w:tcBorders>
                    <w:bottom w:val="single" w:color="auto" w:sz="4" w:space="0"/>
                  </w:tcBorders>
                  <w:noWrap w:val="0"/>
                  <w:vAlign w:val="center"/>
                </w:tcPr>
                <w:p>
                  <w:pPr>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电器短路火灾的发生</w:t>
                  </w:r>
                </w:p>
              </w:tc>
              <w:tc>
                <w:tcPr>
                  <w:tcW w:w="1843" w:type="dxa"/>
                  <w:vMerge w:val="continue"/>
                  <w:noWrap w:val="0"/>
                  <w:vAlign w:val="top"/>
                </w:tcPr>
                <w:p>
                  <w:pPr>
                    <w:rPr>
                      <w:rFonts w:hint="eastAsia" w:ascii="宋体" w:hAnsi="宋体" w:eastAsia="宋体" w:cs="宋体"/>
                      <w:bCs w:val="0"/>
                      <w:spacing w:val="0"/>
                      <w:kern w:val="2"/>
                      <w:sz w:val="21"/>
                      <w:szCs w:val="21"/>
                      <w:lang w:val="en-US" w:eastAsia="zh-CN" w:bidi="ar-SA"/>
                    </w:rPr>
                  </w:pPr>
                </w:p>
              </w:tc>
              <w:tc>
                <w:tcPr>
                  <w:tcW w:w="1230" w:type="dxa"/>
                  <w:vMerge w:val="continue"/>
                  <w:noWrap w:val="0"/>
                  <w:vAlign w:val="top"/>
                </w:tcPr>
                <w:p>
                  <w:pPr>
                    <w:rPr>
                      <w:rFonts w:hint="eastAsia" w:ascii="宋体" w:hAnsi="宋体" w:eastAsia="宋体" w:cs="宋体"/>
                      <w:bCs w:val="0"/>
                      <w:spacing w:val="0"/>
                      <w:kern w:val="2"/>
                      <w:sz w:val="21"/>
                      <w:szCs w:val="21"/>
                      <w:lang w:val="en-US" w:eastAsia="zh-CN" w:bidi="ar-SA"/>
                    </w:rPr>
                  </w:pPr>
                </w:p>
              </w:tc>
              <w:tc>
                <w:tcPr>
                  <w:tcW w:w="1710" w:type="dxa"/>
                  <w:vMerge w:val="continue"/>
                  <w:noWrap w:val="0"/>
                  <w:vAlign w:val="top"/>
                </w:tcPr>
                <w:p>
                  <w:pPr>
                    <w:rPr>
                      <w:rFonts w:hint="eastAsia" w:ascii="宋体" w:hAnsi="宋体" w:eastAsia="宋体" w:cs="宋体"/>
                      <w:bCs w:val="0"/>
                      <w:spacing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trPr>
              <w:tc>
                <w:tcPr>
                  <w:tcW w:w="430" w:type="dxa"/>
                  <w:noWrap w:val="0"/>
                  <w:vAlign w:val="center"/>
                </w:tcPr>
                <w:p>
                  <w:pPr>
                    <w:jc w:val="center"/>
                    <w:rPr>
                      <w:rFonts w:hint="eastAsia" w:ascii="宋体" w:hAnsi="宋体" w:eastAsia="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4</w:t>
                  </w:r>
                </w:p>
              </w:tc>
              <w:tc>
                <w:tcPr>
                  <w:tcW w:w="1360" w:type="dxa"/>
                  <w:noWrap w:val="0"/>
                  <w:vAlign w:val="center"/>
                </w:tcPr>
                <w:p>
                  <w:pPr>
                    <w:jc w:val="both"/>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固废的排放</w:t>
                  </w:r>
                </w:p>
              </w:tc>
              <w:tc>
                <w:tcPr>
                  <w:tcW w:w="3157" w:type="dxa"/>
                  <w:noWrap w:val="0"/>
                  <w:vAlign w:val="center"/>
                </w:tcPr>
                <w:p>
                  <w:pPr>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办公固废（废电池、废硒鼓、墨盒）的排放</w:t>
                  </w:r>
                </w:p>
              </w:tc>
              <w:tc>
                <w:tcPr>
                  <w:tcW w:w="1843" w:type="dxa"/>
                  <w:noWrap w:val="0"/>
                  <w:vAlign w:val="center"/>
                </w:tcPr>
                <w:p>
                  <w:pPr>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固废的综合性污染</w:t>
                  </w:r>
                </w:p>
              </w:tc>
              <w:tc>
                <w:tcPr>
                  <w:tcW w:w="1230" w:type="dxa"/>
                  <w:noWrap w:val="0"/>
                  <w:vAlign w:val="center"/>
                </w:tcPr>
                <w:p>
                  <w:pPr>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将来/正常</w:t>
                  </w:r>
                </w:p>
              </w:tc>
              <w:tc>
                <w:tcPr>
                  <w:tcW w:w="1710" w:type="dxa"/>
                  <w:noWrap w:val="0"/>
                  <w:vAlign w:val="center"/>
                </w:tcPr>
                <w:p>
                  <w:pPr>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管理方案/环境影响运行控制程序</w:t>
                  </w:r>
                </w:p>
              </w:tc>
            </w:tr>
          </w:tbl>
          <w:p>
            <w:pPr>
              <w:adjustRightInd w:val="0"/>
              <w:snapToGrid w:val="0"/>
              <w:spacing w:line="320" w:lineRule="exact"/>
              <w:ind w:right="105" w:rightChars="50" w:firstLine="420" w:firstLineChars="200"/>
              <w:textAlignment w:val="baseline"/>
              <w:rPr>
                <w:rFonts w:hint="eastAsia"/>
                <w:lang w:val="en-US" w:eastAsia="zh-CN"/>
              </w:rPr>
            </w:pPr>
            <w:r>
              <w:rPr>
                <w:rFonts w:hint="eastAsia"/>
                <w:lang w:val="en-US" w:eastAsia="zh-CN"/>
              </w:rPr>
              <w:t>查</w:t>
            </w:r>
            <w:r>
              <w:rPr>
                <w:rFonts w:hint="eastAsia" w:ascii="宋体" w:hAnsi="宋体" w:cs="宋体"/>
                <w:bCs w:val="0"/>
                <w:spacing w:val="0"/>
                <w:kern w:val="2"/>
                <w:sz w:val="21"/>
                <w:szCs w:val="21"/>
                <w:lang w:val="en-US" w:eastAsia="zh-CN" w:bidi="ar-SA"/>
              </w:rPr>
              <w:t>《不可接受风险清单》</w:t>
            </w:r>
            <w:r>
              <w:rPr>
                <w:rFonts w:hint="eastAsia"/>
                <w:lang w:val="en-US" w:eastAsia="zh-CN"/>
              </w:rPr>
              <w:t>，采购部</w:t>
            </w:r>
            <w:r>
              <w:rPr>
                <w:rFonts w:hint="eastAsia"/>
                <w:lang w:val="en-US" w:eastAsia="zh-TW"/>
              </w:rPr>
              <w:t>涉及</w:t>
            </w:r>
            <w:r>
              <w:rPr>
                <w:rFonts w:hint="eastAsia"/>
                <w:lang w:val="en-US" w:eastAsia="zh-CN"/>
              </w:rPr>
              <w:t>的</w:t>
            </w:r>
            <w:r>
              <w:rPr>
                <w:rFonts w:hint="eastAsia"/>
                <w:lang w:val="en-US" w:eastAsia="zh-TW"/>
              </w:rPr>
              <w:t>重大危险源</w:t>
            </w:r>
            <w:r>
              <w:rPr>
                <w:rFonts w:hint="eastAsia"/>
                <w:lang w:val="en-US" w:eastAsia="zh-CN"/>
              </w:rPr>
              <w:t>如下</w:t>
            </w:r>
            <w:r>
              <w:rPr>
                <w:rFonts w:hint="eastAsia"/>
                <w:lang w:val="en-US" w:eastAsia="zh-TW"/>
              </w:rPr>
              <w:t>：</w:t>
            </w:r>
          </w:p>
          <w:tbl>
            <w:tblPr>
              <w:tblStyle w:val="6"/>
              <w:tblW w:w="9819"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6"/>
              <w:gridCol w:w="2292"/>
              <w:gridCol w:w="2407"/>
              <w:gridCol w:w="1333"/>
              <w:gridCol w:w="316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580" w:hRule="atLeast"/>
                <w:jc w:val="center"/>
              </w:trPr>
              <w:tc>
                <w:tcPr>
                  <w:tcW w:w="626" w:type="dxa"/>
                  <w:noWrap w:val="0"/>
                  <w:vAlign w:val="center"/>
                </w:tcPr>
                <w:p>
                  <w:pPr>
                    <w:jc w:val="left"/>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序号</w:t>
                  </w:r>
                </w:p>
              </w:tc>
              <w:tc>
                <w:tcPr>
                  <w:tcW w:w="2292" w:type="dxa"/>
                  <w:noWrap w:val="0"/>
                  <w:vAlign w:val="center"/>
                </w:tcPr>
                <w:p>
                  <w:pPr>
                    <w:jc w:val="left"/>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活动点/工序/部位</w:t>
                  </w:r>
                </w:p>
              </w:tc>
              <w:tc>
                <w:tcPr>
                  <w:tcW w:w="2407" w:type="dxa"/>
                  <w:noWrap w:val="0"/>
                  <w:vAlign w:val="center"/>
                </w:tcPr>
                <w:p>
                  <w:pPr>
                    <w:jc w:val="left"/>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潜在的危险因素</w:t>
                  </w:r>
                </w:p>
              </w:tc>
              <w:tc>
                <w:tcPr>
                  <w:tcW w:w="1333" w:type="dxa"/>
                  <w:noWrap w:val="0"/>
                  <w:vAlign w:val="center"/>
                </w:tcPr>
                <w:p>
                  <w:pPr>
                    <w:jc w:val="left"/>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可能导致的结果</w:t>
                  </w:r>
                </w:p>
              </w:tc>
              <w:tc>
                <w:tcPr>
                  <w:tcW w:w="3161" w:type="dxa"/>
                  <w:noWrap w:val="0"/>
                  <w:vAlign w:val="center"/>
                </w:tcPr>
                <w:p>
                  <w:pPr>
                    <w:jc w:val="left"/>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控制措施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2" w:hRule="atLeast"/>
                <w:jc w:val="center"/>
              </w:trPr>
              <w:tc>
                <w:tcPr>
                  <w:tcW w:w="626" w:type="dxa"/>
                  <w:noWrap w:val="0"/>
                  <w:vAlign w:val="center"/>
                </w:tcPr>
                <w:p>
                  <w:pPr>
                    <w:jc w:val="left"/>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1</w:t>
                  </w:r>
                </w:p>
              </w:tc>
              <w:tc>
                <w:tcPr>
                  <w:tcW w:w="2292" w:type="dxa"/>
                  <w:noWrap w:val="0"/>
                  <w:vAlign w:val="top"/>
                </w:tcPr>
                <w:p>
                  <w:pPr>
                    <w:jc w:val="left"/>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办公场所区域的易燃品的堆放</w:t>
                  </w:r>
                </w:p>
              </w:tc>
              <w:tc>
                <w:tcPr>
                  <w:tcW w:w="2407" w:type="dxa"/>
                  <w:noWrap w:val="0"/>
                  <w:vAlign w:val="top"/>
                </w:tcPr>
                <w:p>
                  <w:pPr>
                    <w:jc w:val="left"/>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出现明火引起的火灾</w:t>
                  </w:r>
                </w:p>
              </w:tc>
              <w:tc>
                <w:tcPr>
                  <w:tcW w:w="1333" w:type="dxa"/>
                  <w:noWrap w:val="0"/>
                  <w:vAlign w:val="top"/>
                </w:tcPr>
                <w:p>
                  <w:pPr>
                    <w:jc w:val="left"/>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人员伤亡</w:t>
                  </w:r>
                </w:p>
              </w:tc>
              <w:tc>
                <w:tcPr>
                  <w:tcW w:w="3161" w:type="dxa"/>
                  <w:noWrap w:val="0"/>
                  <w:vAlign w:val="top"/>
                </w:tcPr>
                <w:p>
                  <w:pPr>
                    <w:jc w:val="left"/>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应急准备和响应控制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2" w:hRule="atLeast"/>
                <w:jc w:val="center"/>
              </w:trPr>
              <w:tc>
                <w:tcPr>
                  <w:tcW w:w="626" w:type="dxa"/>
                  <w:noWrap w:val="0"/>
                  <w:vAlign w:val="center"/>
                </w:tcPr>
                <w:p>
                  <w:pPr>
                    <w:jc w:val="left"/>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2</w:t>
                  </w:r>
                </w:p>
              </w:tc>
              <w:tc>
                <w:tcPr>
                  <w:tcW w:w="2292" w:type="dxa"/>
                  <w:noWrap w:val="0"/>
                  <w:vAlign w:val="center"/>
                </w:tcPr>
                <w:p>
                  <w:pPr>
                    <w:jc w:val="left"/>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办公用电</w:t>
                  </w:r>
                </w:p>
              </w:tc>
              <w:tc>
                <w:tcPr>
                  <w:tcW w:w="2407" w:type="dxa"/>
                  <w:noWrap w:val="0"/>
                  <w:vAlign w:val="center"/>
                </w:tcPr>
                <w:p>
                  <w:pPr>
                    <w:jc w:val="left"/>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设备损坏，线路老化，电路设置不符合要求</w:t>
                  </w:r>
                </w:p>
              </w:tc>
              <w:tc>
                <w:tcPr>
                  <w:tcW w:w="1333" w:type="dxa"/>
                  <w:noWrap w:val="0"/>
                  <w:vAlign w:val="center"/>
                </w:tcPr>
                <w:p>
                  <w:pPr>
                    <w:jc w:val="left"/>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人员触电，火灾事故等</w:t>
                  </w:r>
                </w:p>
              </w:tc>
              <w:tc>
                <w:tcPr>
                  <w:tcW w:w="3161" w:type="dxa"/>
                  <w:noWrap w:val="0"/>
                  <w:vAlign w:val="center"/>
                </w:tcPr>
                <w:p>
                  <w:pPr>
                    <w:jc w:val="left"/>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规范操作，坚持线路检查，做好应急响应工作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42" w:hRule="atLeast"/>
                <w:jc w:val="center"/>
              </w:trPr>
              <w:tc>
                <w:tcPr>
                  <w:tcW w:w="626" w:type="dxa"/>
                  <w:noWrap w:val="0"/>
                  <w:vAlign w:val="center"/>
                </w:tcPr>
                <w:p>
                  <w:pPr>
                    <w:jc w:val="left"/>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3</w:t>
                  </w:r>
                </w:p>
              </w:tc>
              <w:tc>
                <w:tcPr>
                  <w:tcW w:w="2292" w:type="dxa"/>
                  <w:noWrap w:val="0"/>
                  <w:vAlign w:val="center"/>
                </w:tcPr>
                <w:p>
                  <w:pPr>
                    <w:jc w:val="left"/>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职业健康安全</w:t>
                  </w:r>
                </w:p>
              </w:tc>
              <w:tc>
                <w:tcPr>
                  <w:tcW w:w="2407" w:type="dxa"/>
                  <w:noWrap w:val="0"/>
                  <w:vAlign w:val="center"/>
                </w:tcPr>
                <w:p>
                  <w:pPr>
                    <w:jc w:val="left"/>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职业病的发生</w:t>
                  </w:r>
                </w:p>
                <w:p>
                  <w:pPr>
                    <w:jc w:val="left"/>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传染病的传播</w:t>
                  </w:r>
                </w:p>
              </w:tc>
              <w:tc>
                <w:tcPr>
                  <w:tcW w:w="1333" w:type="dxa"/>
                  <w:noWrap w:val="0"/>
                  <w:vAlign w:val="center"/>
                </w:tcPr>
                <w:p>
                  <w:pPr>
                    <w:jc w:val="left"/>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职业健康安全</w:t>
                  </w:r>
                </w:p>
              </w:tc>
              <w:tc>
                <w:tcPr>
                  <w:tcW w:w="3161" w:type="dxa"/>
                  <w:noWrap w:val="0"/>
                  <w:vAlign w:val="center"/>
                </w:tcPr>
                <w:p>
                  <w:pPr>
                    <w:jc w:val="left"/>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规范操作，佩戴防护用具</w:t>
                  </w:r>
                </w:p>
                <w:p>
                  <w:pPr>
                    <w:jc w:val="left"/>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定期进行体检</w:t>
                  </w:r>
                </w:p>
                <w:p>
                  <w:pPr>
                    <w:jc w:val="left"/>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制定应急预案，全员进行安全知识培训，提高自我防护意识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2" w:hRule="atLeast"/>
                <w:jc w:val="center"/>
              </w:trPr>
              <w:tc>
                <w:tcPr>
                  <w:tcW w:w="626" w:type="dxa"/>
                  <w:noWrap w:val="0"/>
                  <w:vAlign w:val="center"/>
                </w:tcPr>
                <w:p>
                  <w:pPr>
                    <w:jc w:val="left"/>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4</w:t>
                  </w:r>
                </w:p>
              </w:tc>
              <w:tc>
                <w:tcPr>
                  <w:tcW w:w="2292" w:type="dxa"/>
                  <w:noWrap w:val="0"/>
                  <w:vAlign w:val="center"/>
                </w:tcPr>
                <w:p>
                  <w:pPr>
                    <w:jc w:val="left"/>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生产线员工、员工上下班、业务员出差</w:t>
                  </w:r>
                </w:p>
              </w:tc>
              <w:tc>
                <w:tcPr>
                  <w:tcW w:w="2407" w:type="dxa"/>
                  <w:noWrap w:val="0"/>
                  <w:vAlign w:val="center"/>
                </w:tcPr>
                <w:p>
                  <w:pPr>
                    <w:jc w:val="left"/>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高温中暑、交通意外</w:t>
                  </w:r>
                </w:p>
              </w:tc>
              <w:tc>
                <w:tcPr>
                  <w:tcW w:w="1333" w:type="dxa"/>
                  <w:noWrap w:val="0"/>
                  <w:vAlign w:val="center"/>
                </w:tcPr>
                <w:p>
                  <w:pPr>
                    <w:jc w:val="left"/>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人员伤亡</w:t>
                  </w:r>
                </w:p>
              </w:tc>
              <w:tc>
                <w:tcPr>
                  <w:tcW w:w="3161" w:type="dxa"/>
                  <w:noWrap w:val="0"/>
                  <w:vAlign w:val="center"/>
                </w:tcPr>
                <w:p>
                  <w:pPr>
                    <w:jc w:val="left"/>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做好防护和应急响应工作</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626" w:type="dxa"/>
                  <w:noWrap w:val="0"/>
                  <w:vAlign w:val="center"/>
                </w:tcPr>
                <w:p>
                  <w:pPr>
                    <w:jc w:val="left"/>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5</w:t>
                  </w:r>
                </w:p>
              </w:tc>
              <w:tc>
                <w:tcPr>
                  <w:tcW w:w="2292" w:type="dxa"/>
                  <w:noWrap w:val="0"/>
                  <w:vAlign w:val="center"/>
                </w:tcPr>
                <w:p>
                  <w:pPr>
                    <w:jc w:val="left"/>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台风等自然灾害</w:t>
                  </w:r>
                </w:p>
              </w:tc>
              <w:tc>
                <w:tcPr>
                  <w:tcW w:w="2407" w:type="dxa"/>
                  <w:noWrap w:val="0"/>
                  <w:vAlign w:val="center"/>
                </w:tcPr>
                <w:p>
                  <w:pPr>
                    <w:jc w:val="left"/>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自然灾害紧急情况</w:t>
                  </w:r>
                </w:p>
              </w:tc>
              <w:tc>
                <w:tcPr>
                  <w:tcW w:w="1333" w:type="dxa"/>
                  <w:noWrap w:val="0"/>
                  <w:vAlign w:val="center"/>
                </w:tcPr>
                <w:p>
                  <w:pPr>
                    <w:jc w:val="left"/>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人员伤亡</w:t>
                  </w:r>
                </w:p>
              </w:tc>
              <w:tc>
                <w:tcPr>
                  <w:tcW w:w="3161" w:type="dxa"/>
                  <w:noWrap w:val="0"/>
                  <w:vAlign w:val="center"/>
                </w:tcPr>
                <w:p>
                  <w:pPr>
                    <w:jc w:val="left"/>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做好防护和应急响应工作</w:t>
                  </w:r>
                </w:p>
              </w:tc>
            </w:tr>
          </w:tbl>
          <w:p>
            <w:pPr>
              <w:adjustRightInd w:val="0"/>
              <w:snapToGrid w:val="0"/>
              <w:spacing w:line="320" w:lineRule="exact"/>
              <w:ind w:right="105" w:rightChars="50" w:firstLine="420" w:firstLineChars="200"/>
              <w:textAlignment w:val="baseline"/>
              <w:rPr>
                <w:rFonts w:hint="eastAsia"/>
                <w:lang w:val="en-US" w:eastAsia="zh-CN"/>
              </w:rPr>
            </w:pPr>
            <w:r>
              <w:rPr>
                <w:rFonts w:hint="eastAsia"/>
                <w:lang w:val="en-US" w:eastAsia="zh-TW"/>
              </w:rPr>
              <w:t>对于</w:t>
            </w:r>
            <w:r>
              <w:rPr>
                <w:rFonts w:hint="eastAsia"/>
                <w:lang w:val="en-US" w:eastAsia="zh-CN"/>
              </w:rPr>
              <w:t>环境因素、重要环境因素及危险源、不可接受风险等通过运行控制、管理方案、应急准备与响应进行控制。</w:t>
            </w:r>
          </w:p>
          <w:p>
            <w:pPr>
              <w:spacing w:line="280" w:lineRule="exact"/>
              <w:ind w:firstLine="420"/>
              <w:jc w:val="both"/>
              <w:rPr>
                <w:rFonts w:hint="eastAsia" w:ascii="楷体" w:hAnsi="楷体" w:eastAsia="楷体"/>
                <w:sz w:val="24"/>
                <w:szCs w:val="24"/>
              </w:rPr>
            </w:pPr>
            <w:r>
              <w:rPr>
                <w:rFonts w:hint="eastAsia"/>
                <w:lang w:val="en-US" w:eastAsia="zh-CN"/>
              </w:rPr>
              <w:t>采购部环境因素、危险源的识别、评价和控制基本符合标准要求。</w:t>
            </w:r>
          </w:p>
        </w:tc>
        <w:tc>
          <w:tcPr>
            <w:tcW w:w="1134" w:type="dxa"/>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spacing w:line="320" w:lineRule="exact"/>
              <w:ind w:right="105" w:rightChars="50"/>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目标及其实现的策划总要求</w:t>
            </w:r>
          </w:p>
        </w:tc>
        <w:tc>
          <w:tcPr>
            <w:tcW w:w="960" w:type="dxa"/>
          </w:tcPr>
          <w:p>
            <w:pPr>
              <w:adjustRightInd w:val="0"/>
              <w:snapToGrid w:val="0"/>
              <w:spacing w:line="320" w:lineRule="exact"/>
              <w:ind w:right="105" w:rightChars="50"/>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QEO6.2</w:t>
            </w:r>
          </w:p>
          <w:p>
            <w:pPr>
              <w:adjustRightInd w:val="0"/>
              <w:snapToGrid w:val="0"/>
              <w:spacing w:line="320" w:lineRule="exact"/>
              <w:ind w:right="105" w:rightChars="50"/>
              <w:textAlignment w:val="baseline"/>
              <w:rPr>
                <w:rFonts w:hint="eastAsia" w:ascii="Times New Roman" w:hAnsi="Times New Roman" w:eastAsia="宋体" w:cs="Times New Roman"/>
                <w:lang w:val="en-US" w:eastAsia="zh-CN"/>
              </w:rPr>
            </w:pPr>
          </w:p>
          <w:p>
            <w:pPr>
              <w:adjustRightInd w:val="0"/>
              <w:snapToGrid w:val="0"/>
              <w:spacing w:line="320" w:lineRule="exact"/>
              <w:ind w:right="105" w:rightChars="50"/>
              <w:textAlignment w:val="baseline"/>
              <w:rPr>
                <w:rFonts w:hint="eastAsia" w:ascii="Times New Roman" w:hAnsi="Times New Roman" w:eastAsia="宋体" w:cs="Times New Roman"/>
                <w:lang w:val="en-US" w:eastAsia="zh-CN"/>
              </w:rPr>
            </w:pPr>
          </w:p>
        </w:tc>
        <w:tc>
          <w:tcPr>
            <w:tcW w:w="10455" w:type="dxa"/>
          </w:tcPr>
          <w:p>
            <w:pPr>
              <w:adjustRightInd w:val="0"/>
              <w:snapToGrid w:val="0"/>
              <w:spacing w:line="320" w:lineRule="exact"/>
              <w:ind w:right="105" w:rightChars="50" w:firstLine="420" w:firstLineChars="200"/>
              <w:textAlignment w:val="baseline"/>
              <w:rPr>
                <w:rFonts w:hint="eastAsia"/>
                <w:lang w:val="en-US" w:eastAsia="zh-CN"/>
              </w:rPr>
            </w:pPr>
            <w:r>
              <w:rPr>
                <w:rFonts w:hint="eastAsia"/>
                <w:lang w:val="en-US" w:eastAsia="zh-CN"/>
              </w:rPr>
              <w:t>采购涉及的管理目标如下：</w:t>
            </w:r>
          </w:p>
          <w:p>
            <w:pPr>
              <w:spacing w:line="280" w:lineRule="exact"/>
              <w:ind w:firstLine="420" w:firstLineChars="200"/>
              <w:jc w:val="left"/>
              <w:rPr>
                <w:rFonts w:hint="eastAsia" w:ascii="楷体" w:hAnsi="楷体" w:eastAsia="楷体"/>
                <w:sz w:val="24"/>
                <w:szCs w:val="24"/>
                <w:lang w:val="en-US" w:eastAsia="zh-CN"/>
              </w:rPr>
            </w:pPr>
            <w:r>
              <w:drawing>
                <wp:anchor distT="0" distB="0" distL="114300" distR="114300" simplePos="0" relativeHeight="251659264" behindDoc="0" locked="0" layoutInCell="1" allowOverlap="1">
                  <wp:simplePos x="0" y="0"/>
                  <wp:positionH relativeFrom="column">
                    <wp:posOffset>266700</wp:posOffset>
                  </wp:positionH>
                  <wp:positionV relativeFrom="paragraph">
                    <wp:posOffset>-3058160</wp:posOffset>
                  </wp:positionV>
                  <wp:extent cx="6240145" cy="3063875"/>
                  <wp:effectExtent l="0" t="0" r="8255"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240145" cy="3063875"/>
                          </a:xfrm>
                          <a:prstGeom prst="rect">
                            <a:avLst/>
                          </a:prstGeom>
                          <a:noFill/>
                          <a:ln>
                            <a:noFill/>
                          </a:ln>
                        </pic:spPr>
                      </pic:pic>
                    </a:graphicData>
                  </a:graphic>
                </wp:anchor>
              </w:drawing>
            </w:r>
            <w:r>
              <w:rPr>
                <w:rFonts w:hint="eastAsia" w:ascii="宋体" w:hAnsi="宋体" w:cs="宋体"/>
                <w:bCs w:val="0"/>
                <w:spacing w:val="0"/>
                <w:kern w:val="2"/>
                <w:sz w:val="21"/>
                <w:szCs w:val="21"/>
                <w:lang w:val="en-US" w:eastAsia="zh-CN" w:bidi="ar-SA"/>
              </w:rPr>
              <w:t>部门</w:t>
            </w:r>
            <w:r>
              <w:rPr>
                <w:rFonts w:hint="eastAsia" w:ascii="宋体" w:hAnsi="宋体" w:eastAsia="宋体" w:cs="宋体"/>
                <w:bCs w:val="0"/>
                <w:spacing w:val="0"/>
                <w:kern w:val="2"/>
                <w:sz w:val="21"/>
                <w:szCs w:val="21"/>
                <w:lang w:val="en-US" w:eastAsia="zh-CN" w:bidi="ar-SA"/>
              </w:rPr>
              <w:t>目标与</w:t>
            </w:r>
            <w:r>
              <w:rPr>
                <w:rFonts w:hint="eastAsia" w:ascii="宋体" w:hAnsi="宋体" w:cs="宋体"/>
                <w:bCs w:val="0"/>
                <w:spacing w:val="0"/>
                <w:kern w:val="2"/>
                <w:sz w:val="21"/>
                <w:szCs w:val="21"/>
                <w:lang w:val="en-US" w:eastAsia="zh-CN" w:bidi="ar-SA"/>
              </w:rPr>
              <w:t>分解基本合理，</w:t>
            </w:r>
            <w:r>
              <w:rPr>
                <w:rFonts w:hint="eastAsia" w:ascii="宋体" w:hAnsi="宋体" w:eastAsia="宋体" w:cs="宋体"/>
                <w:bCs w:val="0"/>
                <w:spacing w:val="0"/>
                <w:kern w:val="2"/>
                <w:sz w:val="21"/>
                <w:szCs w:val="21"/>
                <w:lang w:val="en-US" w:eastAsia="zh-CN" w:bidi="ar-SA"/>
              </w:rPr>
              <w:t>均有相应的统计方法、管理方案和监视频率，责任部门和责任人明确，基本满足控制要求。</w:t>
            </w:r>
          </w:p>
        </w:tc>
        <w:tc>
          <w:tcPr>
            <w:tcW w:w="1134" w:type="dxa"/>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spacing w:line="320" w:lineRule="exact"/>
              <w:ind w:right="105" w:rightChars="50"/>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运行的策划与控制</w:t>
            </w:r>
          </w:p>
        </w:tc>
        <w:tc>
          <w:tcPr>
            <w:tcW w:w="960" w:type="dxa"/>
          </w:tcPr>
          <w:p>
            <w:pPr>
              <w:adjustRightInd w:val="0"/>
              <w:snapToGrid w:val="0"/>
              <w:spacing w:line="320" w:lineRule="exact"/>
              <w:ind w:right="105" w:rightChars="50"/>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EO8.1</w:t>
            </w:r>
          </w:p>
        </w:tc>
        <w:tc>
          <w:tcPr>
            <w:tcW w:w="10455" w:type="dxa"/>
          </w:tcPr>
          <w:p>
            <w:pPr>
              <w:adjustRightInd w:val="0"/>
              <w:snapToGrid w:val="0"/>
              <w:spacing w:line="320" w:lineRule="exact"/>
              <w:ind w:right="105" w:rightChars="50" w:firstLine="420" w:firstLineChars="200"/>
              <w:textAlignment w:val="baseline"/>
              <w:rPr>
                <w:rFonts w:hint="eastAsia"/>
                <w:lang w:val="en-US" w:eastAsia="zh-CN"/>
              </w:rPr>
            </w:pPr>
            <w:r>
              <w:rPr>
                <w:rFonts w:hint="eastAsia"/>
                <w:lang w:val="en-US" w:eastAsia="zh-CN"/>
              </w:rPr>
              <w:t>组织根据活动内容，策划了与采购部相关的 LJ -P-25-2021《外部提供产品、服务和过程控制程序》、《供方评价管理制度》等重要准则。</w:t>
            </w:r>
          </w:p>
          <w:p>
            <w:pPr>
              <w:adjustRightInd w:val="0"/>
              <w:snapToGrid w:val="0"/>
              <w:spacing w:line="320" w:lineRule="exact"/>
              <w:ind w:right="105" w:rightChars="50" w:firstLine="420" w:firstLineChars="200"/>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采购部涉及的过程主要包括采购和供应商开发、选择和评价等活动。</w:t>
            </w:r>
          </w:p>
          <w:p>
            <w:pPr>
              <w:adjustRightInd w:val="0"/>
              <w:snapToGrid w:val="0"/>
              <w:spacing w:line="320" w:lineRule="exact"/>
              <w:ind w:right="105" w:rightChars="50" w:firstLine="420" w:firstLineChars="200"/>
              <w:textAlignment w:val="baseline"/>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提供采购合同：</w:t>
            </w:r>
          </w:p>
          <w:p>
            <w:pPr>
              <w:adjustRightInd w:val="0"/>
              <w:snapToGrid w:val="0"/>
              <w:spacing w:line="320" w:lineRule="exact"/>
              <w:ind w:right="105" w:rightChars="50" w:firstLine="420" w:firstLineChars="200"/>
              <w:textAlignment w:val="baseline"/>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w:t>
            </w:r>
            <w:r>
              <w:rPr>
                <w:rFonts w:hint="eastAsia" w:cs="Times New Roman"/>
                <w:color w:val="auto"/>
                <w:lang w:val="en-US" w:eastAsia="zh-CN"/>
              </w:rPr>
              <w:t>.供方：新东方油墨有限公司；合同期限：2021年6月20日至2023年6月19日；合同标的：油墨产品；合同就产品质量、数量、价格、验收等方面作了约定，具体以订单为准。基本满足控制要求。</w:t>
            </w:r>
          </w:p>
          <w:p>
            <w:pPr>
              <w:adjustRightInd w:val="0"/>
              <w:snapToGrid w:val="0"/>
              <w:spacing w:line="320" w:lineRule="exact"/>
              <w:ind w:right="105" w:rightChars="50" w:firstLine="420" w:firstLineChars="200"/>
              <w:textAlignment w:val="baseline"/>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r>
              <w:rPr>
                <w:rFonts w:hint="eastAsia" w:cs="Times New Roman"/>
                <w:color w:val="auto"/>
                <w:lang w:val="en-US" w:eastAsia="zh-CN"/>
              </w:rPr>
              <w:t>.供方：瑞安市东威塑胶有限公司；签订日期：2021年4月15日；合同标的：BOPP薄膜；合同就产品质量、包装方式、结款方式、违约责任等方面作了约定，基本满足控制要求。</w:t>
            </w:r>
          </w:p>
          <w:p>
            <w:pPr>
              <w:adjustRightInd w:val="0"/>
              <w:snapToGrid w:val="0"/>
              <w:spacing w:line="320" w:lineRule="exact"/>
              <w:ind w:right="105" w:rightChars="50" w:firstLine="420" w:firstLineChars="200"/>
              <w:textAlignment w:val="baseline"/>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w:t>
            </w:r>
            <w:r>
              <w:rPr>
                <w:rFonts w:hint="eastAsia" w:cs="Times New Roman"/>
                <w:color w:val="auto"/>
                <w:lang w:val="en-US" w:eastAsia="zh-CN"/>
              </w:rPr>
              <w:t>.供方：杭州恒裕包装材料有限公司；签订时间：2021年11月24日；合同标的：OPI-NAP镜面银油墨；合同就产品质量、交付方式、验收标准等方面作了约定，基本满足控制要求。</w:t>
            </w:r>
          </w:p>
          <w:p>
            <w:pPr>
              <w:adjustRightInd w:val="0"/>
              <w:snapToGrid w:val="0"/>
              <w:spacing w:line="320" w:lineRule="exact"/>
              <w:ind w:right="105" w:rightChars="50" w:firstLine="420" w:firstLineChars="200"/>
              <w:textAlignment w:val="baseline"/>
              <w:rPr>
                <w:rFonts w:hint="default"/>
                <w:lang w:val="en-US" w:eastAsia="zh-CN"/>
              </w:rPr>
            </w:pPr>
            <w:r>
              <w:rPr>
                <w:rFonts w:hint="eastAsia" w:ascii="Times New Roman" w:hAnsi="Times New Roman" w:eastAsia="宋体" w:cs="Times New Roman"/>
                <w:lang w:val="en-US" w:eastAsia="zh-CN"/>
              </w:rPr>
              <w:t>根据程序文件策划要求，采购部通过</w:t>
            </w:r>
            <w:r>
              <w:rPr>
                <w:rFonts w:hint="eastAsia"/>
                <w:lang w:val="en-US" w:eastAsia="zh-CN"/>
              </w:rPr>
              <w:t>各种监视、测量途径进行过程控制，如：采购原材料的检验见质检部Q8.6记录；供应商的评价和选择见采购部Q8.4。</w:t>
            </w:r>
          </w:p>
          <w:p>
            <w:pPr>
              <w:adjustRightInd w:val="0"/>
              <w:snapToGrid w:val="0"/>
              <w:spacing w:line="320" w:lineRule="exact"/>
              <w:ind w:right="105" w:rightChars="50" w:firstLine="420" w:firstLineChars="200"/>
              <w:textAlignment w:val="baseline"/>
              <w:rPr>
                <w:rFonts w:hint="eastAsia"/>
                <w:lang w:val="en-US" w:eastAsia="zh-CN"/>
              </w:rPr>
            </w:pPr>
            <w:r>
              <w:rPr>
                <w:rFonts w:hint="eastAsia"/>
                <w:lang w:val="en-US" w:eastAsia="zh-CN"/>
              </w:rPr>
              <w:t>市场部负责人陈少亚介绍，组织领导有提供基本的资源包括场所、人力、物力、设备设施等，如办公场所等；到目前为止，组织采购活动策划未发生变更，问其有关要求，基本了解。</w:t>
            </w:r>
          </w:p>
          <w:p>
            <w:pPr>
              <w:spacing w:line="280" w:lineRule="exact"/>
              <w:ind w:firstLine="420" w:firstLineChars="200"/>
              <w:jc w:val="both"/>
              <w:rPr>
                <w:rFonts w:hint="eastAsia" w:ascii="楷体" w:hAnsi="楷体" w:eastAsia="楷体"/>
                <w:sz w:val="24"/>
                <w:szCs w:val="24"/>
                <w:lang w:val="en-US" w:eastAsia="zh-CN"/>
              </w:rPr>
            </w:pPr>
            <w:r>
              <w:rPr>
                <w:rFonts w:hint="eastAsia"/>
                <w:lang w:val="en-US" w:eastAsia="zh-CN"/>
              </w:rPr>
              <w:t>采购部涉及的环境和职业健康安全运行策划和控制内容主要见行政部EO8.1记录</w:t>
            </w:r>
            <w:r>
              <w:rPr>
                <w:rFonts w:hint="eastAsia"/>
                <w:lang w:val="en-US" w:eastAsia="zh-TW"/>
              </w:rPr>
              <w:t>。</w:t>
            </w:r>
          </w:p>
        </w:tc>
        <w:tc>
          <w:tcPr>
            <w:tcW w:w="1134" w:type="dxa"/>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应急准备和响应</w:t>
            </w:r>
          </w:p>
        </w:tc>
        <w:tc>
          <w:tcPr>
            <w:tcW w:w="960" w:type="dxa"/>
          </w:tcPr>
          <w:p>
            <w:pPr>
              <w:spacing w:line="280" w:lineRule="exac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EO8.2</w:t>
            </w:r>
          </w:p>
        </w:tc>
        <w:tc>
          <w:tcPr>
            <w:tcW w:w="10455" w:type="dxa"/>
          </w:tcPr>
          <w:p>
            <w:pPr>
              <w:spacing w:line="280" w:lineRule="exact"/>
              <w:ind w:firstLine="420" w:firstLineChars="200"/>
              <w:rPr>
                <w:rFonts w:hint="eastAsia"/>
                <w:lang w:val="en-US" w:eastAsia="zh-CN"/>
              </w:rPr>
            </w:pPr>
            <w:r>
              <w:rPr>
                <w:rFonts w:hint="eastAsia"/>
                <w:lang w:val="en-US" w:eastAsia="zh-CN"/>
              </w:rPr>
              <w:t>采购部按照策划的《应急准备和响应程序》、《应急预案》等，明确了相应的运行准则。</w:t>
            </w:r>
          </w:p>
          <w:p>
            <w:pPr>
              <w:spacing w:line="280" w:lineRule="exact"/>
              <w:ind w:firstLine="420" w:firstLineChars="200"/>
              <w:rPr>
                <w:rFonts w:hint="default"/>
                <w:lang w:val="en-US" w:eastAsia="zh-CN"/>
              </w:rPr>
            </w:pPr>
            <w:r>
              <w:rPr>
                <w:rFonts w:hint="eastAsia"/>
                <w:lang w:val="en-US" w:eastAsia="zh-CN"/>
              </w:rPr>
              <w:t>采购部负责人介绍，采购部按照公司统一要求，办公过程中加强用电安全，防止触电事故和火灾事故的发生，配合行政部等组织部门员工参与应急演练。</w:t>
            </w:r>
          </w:p>
          <w:p>
            <w:pPr>
              <w:spacing w:line="280" w:lineRule="exact"/>
              <w:ind w:firstLine="420" w:firstLineChars="200"/>
              <w:rPr>
                <w:rFonts w:hint="eastAsia"/>
                <w:lang w:val="en-US" w:eastAsia="zh-CN"/>
              </w:rPr>
            </w:pPr>
            <w:r>
              <w:rPr>
                <w:rFonts w:hint="eastAsia"/>
                <w:lang w:val="en-US" w:eastAsia="zh-CN"/>
              </w:rPr>
              <w:t>查2021年9月10日</w:t>
            </w:r>
            <w:bookmarkStart w:id="0" w:name="_GoBack"/>
            <w:bookmarkEnd w:id="0"/>
            <w:r>
              <w:rPr>
                <w:rFonts w:hint="eastAsia"/>
                <w:lang w:val="en-US" w:eastAsia="zh-CN"/>
              </w:rPr>
              <w:t>部门人员均参加了行政部组织的消防演练。</w:t>
            </w:r>
          </w:p>
          <w:p>
            <w:pPr>
              <w:spacing w:line="280" w:lineRule="exact"/>
              <w:ind w:firstLine="420" w:firstLineChars="200"/>
              <w:rPr>
                <w:rFonts w:hint="eastAsia" w:ascii="楷体" w:hAnsi="楷体" w:eastAsia="楷体"/>
                <w:sz w:val="24"/>
                <w:szCs w:val="24"/>
                <w:lang w:val="en-US" w:eastAsia="zh-CN"/>
              </w:rPr>
            </w:pPr>
            <w:r>
              <w:rPr>
                <w:rFonts w:hint="eastAsia"/>
                <w:lang w:val="en-US" w:eastAsia="zh-CN"/>
              </w:rPr>
              <w:t>自体系运行以来，未出现紧急情况。</w:t>
            </w:r>
          </w:p>
        </w:tc>
        <w:tc>
          <w:tcPr>
            <w:tcW w:w="1134" w:type="dxa"/>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tcPr>
          <w:p>
            <w:pPr>
              <w:spacing w:line="280" w:lineRule="exact"/>
              <w:rPr>
                <w:rFonts w:hint="eastAsia"/>
                <w:lang w:val="en-US" w:eastAsia="zh-CN"/>
              </w:rPr>
            </w:pPr>
            <w:r>
              <w:rPr>
                <w:rFonts w:hint="eastAsia"/>
                <w:lang w:val="en-US" w:eastAsia="zh-CN"/>
              </w:rPr>
              <w:t>外部提供过程、服务和服务的控制</w:t>
            </w:r>
          </w:p>
          <w:p>
            <w:pPr>
              <w:spacing w:line="280" w:lineRule="exact"/>
              <w:rPr>
                <w:rFonts w:hint="eastAsia"/>
                <w:lang w:val="en-US" w:eastAsia="zh-CN"/>
              </w:rPr>
            </w:pPr>
          </w:p>
        </w:tc>
        <w:tc>
          <w:tcPr>
            <w:tcW w:w="960" w:type="dxa"/>
          </w:tcPr>
          <w:p>
            <w:pPr>
              <w:spacing w:line="280" w:lineRule="exact"/>
              <w:rPr>
                <w:rFonts w:hint="eastAsia"/>
                <w:lang w:val="en-US" w:eastAsia="zh-CN"/>
              </w:rPr>
            </w:pPr>
            <w:r>
              <w:rPr>
                <w:rFonts w:hint="eastAsia"/>
                <w:lang w:val="en-US" w:eastAsia="zh-CN"/>
              </w:rPr>
              <w:t>Q8.4</w:t>
            </w:r>
          </w:p>
          <w:p>
            <w:pPr>
              <w:spacing w:line="280" w:lineRule="exact"/>
              <w:rPr>
                <w:rFonts w:hint="eastAsia"/>
                <w:lang w:val="en-US" w:eastAsia="zh-CN"/>
              </w:rPr>
            </w:pPr>
          </w:p>
        </w:tc>
        <w:tc>
          <w:tcPr>
            <w:tcW w:w="10455" w:type="dxa"/>
            <w:vAlign w:val="center"/>
          </w:tcPr>
          <w:p>
            <w:pPr>
              <w:spacing w:line="280" w:lineRule="exact"/>
              <w:ind w:firstLine="420" w:firstLineChars="200"/>
              <w:rPr>
                <w:rFonts w:hint="eastAsia"/>
                <w:lang w:val="en-US" w:eastAsia="zh-CN"/>
              </w:rPr>
            </w:pPr>
            <w:r>
              <w:rPr>
                <w:rFonts w:hint="eastAsia"/>
                <w:lang w:val="en-US" w:eastAsia="zh-CN"/>
              </w:rPr>
              <w:t>组织按照 LJ -P-25-2021《外部提供产品、服务和过程控制程序》、《供方评价管理制度》对供应商和外包商进行控制。</w:t>
            </w:r>
          </w:p>
          <w:p>
            <w:pPr>
              <w:spacing w:line="280" w:lineRule="exact"/>
              <w:ind w:firstLine="420" w:firstLineChars="200"/>
              <w:rPr>
                <w:rFonts w:hint="eastAsia"/>
                <w:lang w:val="en-US" w:eastAsia="zh-CN"/>
              </w:rPr>
            </w:pPr>
            <w:r>
              <w:rPr>
                <w:rFonts w:hint="eastAsia"/>
                <w:lang w:val="en-US" w:eastAsia="zh-CN"/>
              </w:rPr>
              <w:t>组织采购产品包括油墨、食品用纸、食品用塑料等；</w:t>
            </w:r>
          </w:p>
          <w:p>
            <w:pPr>
              <w:spacing w:line="280" w:lineRule="exact"/>
              <w:ind w:firstLine="420" w:firstLineChars="200"/>
              <w:rPr>
                <w:rFonts w:hint="eastAsia"/>
                <w:lang w:val="en-US" w:eastAsia="zh-CN"/>
              </w:rPr>
            </w:pPr>
            <w:r>
              <w:rPr>
                <w:rFonts w:hint="eastAsia"/>
                <w:lang w:val="en-US" w:eastAsia="zh-CN"/>
              </w:rPr>
              <w:t>组织的外包过程包括：物流；</w:t>
            </w:r>
          </w:p>
          <w:p>
            <w:pPr>
              <w:spacing w:line="280" w:lineRule="exact"/>
              <w:ind w:firstLine="420" w:firstLineChars="200"/>
              <w:rPr>
                <w:rFonts w:hint="default"/>
                <w:lang w:val="en-US" w:eastAsia="zh-CN"/>
              </w:rPr>
            </w:pPr>
            <w:r>
              <w:rPr>
                <w:rFonts w:hint="eastAsia"/>
                <w:lang w:val="en-US" w:eastAsia="zh-CN"/>
              </w:rPr>
              <w:t>组织的采购合同抽样记录见采购部8.5.1；</w:t>
            </w:r>
          </w:p>
          <w:p>
            <w:pPr>
              <w:spacing w:line="280" w:lineRule="exact"/>
              <w:ind w:firstLine="420" w:firstLineChars="200"/>
              <w:rPr>
                <w:rFonts w:hint="default"/>
                <w:lang w:val="en-US" w:eastAsia="zh-CN"/>
              </w:rPr>
            </w:pPr>
            <w:r>
              <w:rPr>
                <w:rFonts w:hint="eastAsia"/>
                <w:lang w:val="en-US" w:eastAsia="zh-CN"/>
              </w:rPr>
              <w:t>抽查外包合同：合同编号：C-571YMS-DA-201508-0003-195；委托方：杭州蓝景包装技术开发有限公司；受托方：浙江顺丰速运有限公司；委托事项：产品等的收派服务；签订日期：2021年2月20日。合同就双方义务、服务期限等内日用作了约定，基本满足合同控制要求。</w:t>
            </w:r>
          </w:p>
          <w:p>
            <w:pPr>
              <w:spacing w:line="280" w:lineRule="exact"/>
              <w:ind w:firstLine="420" w:firstLineChars="200"/>
              <w:rPr>
                <w:rFonts w:hint="eastAsia"/>
                <w:lang w:val="en-US" w:eastAsia="zh-CN"/>
              </w:rPr>
            </w:pPr>
            <w:r>
              <w:rPr>
                <w:rFonts w:hint="eastAsia"/>
                <w:lang w:val="en-US" w:eastAsia="zh-CN"/>
              </w:rPr>
              <w:t>抽查供应商评价记录如下：</w:t>
            </w:r>
          </w:p>
          <w:p>
            <w:pPr>
              <w:spacing w:line="280" w:lineRule="exact"/>
              <w:ind w:firstLine="420" w:firstLineChars="200"/>
              <w:rPr>
                <w:rFonts w:hint="default"/>
                <w:color w:val="auto"/>
                <w:lang w:val="en-US" w:eastAsia="zh-CN"/>
              </w:rPr>
            </w:pPr>
            <w:r>
              <w:rPr>
                <w:rFonts w:hint="eastAsia"/>
                <w:color w:val="auto"/>
                <w:lang w:val="en-US" w:eastAsia="zh-CN"/>
              </w:rPr>
              <w:t>供方评定记录表1：供方名称：广东锦龙源印刷材料有限公司；调查内容从资质合规性资料、供应能力评价、产品质量、试用结论、评定结论等方面展开，基本满足审核控制要求；复评时间：2021年1月。</w:t>
            </w:r>
          </w:p>
          <w:p>
            <w:pPr>
              <w:spacing w:line="280" w:lineRule="exact"/>
              <w:ind w:firstLine="420" w:firstLineChars="200"/>
              <w:rPr>
                <w:rFonts w:hint="eastAsia"/>
                <w:color w:val="auto"/>
                <w:lang w:val="en-US" w:eastAsia="zh-CN"/>
              </w:rPr>
            </w:pPr>
            <w:r>
              <w:rPr>
                <w:rFonts w:hint="eastAsia"/>
                <w:color w:val="auto"/>
                <w:lang w:val="en-US" w:eastAsia="zh-CN"/>
              </w:rPr>
              <w:t>供方评定记录表2：调查对象：昆山运城塑业有限公司；调查内容从资质合规性资料、供应能力评价、产品质量、试用结论、评定结论等方面展开，基本满足审核控制要求；复评时间：2021年1月。</w:t>
            </w:r>
          </w:p>
          <w:p>
            <w:pPr>
              <w:spacing w:line="280" w:lineRule="exact"/>
              <w:ind w:firstLine="420" w:firstLineChars="200"/>
              <w:rPr>
                <w:rFonts w:hint="eastAsia"/>
                <w:color w:val="auto"/>
                <w:lang w:val="en-US" w:eastAsia="zh-CN"/>
              </w:rPr>
            </w:pPr>
            <w:r>
              <w:rPr>
                <w:rFonts w:hint="eastAsia"/>
                <w:color w:val="auto"/>
                <w:lang w:val="en-US" w:eastAsia="zh-CN"/>
              </w:rPr>
              <w:t>供方评定记录表3：调查对象：山东中产纸制品有限公司；调查内容从资质合规性资料、供应能力评价、产品质量、试用结论、评定结论等方面展开，基本满足审核控制要求；复评时间：2021年1月。</w:t>
            </w:r>
          </w:p>
          <w:p>
            <w:pPr>
              <w:spacing w:line="280" w:lineRule="exact"/>
              <w:ind w:firstLine="420" w:firstLineChars="200"/>
              <w:rPr>
                <w:rFonts w:hint="default"/>
                <w:lang w:val="en-US" w:eastAsia="zh-CN"/>
              </w:rPr>
            </w:pPr>
            <w:r>
              <w:rPr>
                <w:rFonts w:hint="eastAsia"/>
                <w:lang w:val="en-US" w:eastAsia="zh-CN"/>
              </w:rPr>
              <w:t>组织在现场审核、评估和定期评价的基础上形成《合格供方名录》，抽查的3家供应商均在合格清单内，组织的供方控制满足要求。</w:t>
            </w:r>
          </w:p>
          <w:p>
            <w:pPr>
              <w:spacing w:line="280" w:lineRule="exact"/>
              <w:ind w:firstLine="420" w:firstLineChars="200"/>
              <w:rPr>
                <w:rFonts w:hint="eastAsia"/>
                <w:lang w:val="en-US" w:eastAsia="zh-CN"/>
              </w:rPr>
            </w:pPr>
            <w:r>
              <w:rPr>
                <w:rFonts w:hint="eastAsia"/>
                <w:lang w:val="en-US" w:eastAsia="zh-CN"/>
              </w:rPr>
              <w:t>在采购控制程序中已规定了采购产品验证的方式，并且应在采购验证的要求中得到规定，在组织内部检验或在顾客处进行检验。</w:t>
            </w:r>
          </w:p>
        </w:tc>
        <w:tc>
          <w:tcPr>
            <w:tcW w:w="1134" w:type="dxa"/>
          </w:tcPr>
          <w:p>
            <w:pPr>
              <w:rPr>
                <w:rFonts w:ascii="楷体" w:hAnsi="楷体" w:eastAsia="楷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2160" w:type="dxa"/>
          </w:tcPr>
          <w:p>
            <w:pPr>
              <w:spacing w:line="280" w:lineRule="exact"/>
              <w:rPr>
                <w:rFonts w:hint="eastAsia"/>
                <w:lang w:val="en-US" w:eastAsia="zh-CN"/>
              </w:rPr>
            </w:pPr>
            <w:r>
              <w:rPr>
                <w:rFonts w:hint="eastAsia"/>
                <w:lang w:val="en-US" w:eastAsia="zh-CN"/>
              </w:rPr>
              <w:t>顾客或外供方财产</w:t>
            </w:r>
          </w:p>
        </w:tc>
        <w:tc>
          <w:tcPr>
            <w:tcW w:w="960" w:type="dxa"/>
          </w:tcPr>
          <w:p>
            <w:pPr>
              <w:spacing w:line="280" w:lineRule="exact"/>
              <w:rPr>
                <w:rFonts w:hint="eastAsia"/>
                <w:lang w:val="en-US" w:eastAsia="zh-CN"/>
              </w:rPr>
            </w:pPr>
            <w:r>
              <w:rPr>
                <w:rFonts w:hint="eastAsia"/>
                <w:lang w:val="en-US" w:eastAsia="zh-CN"/>
              </w:rPr>
              <w:t>Q8.5.3</w:t>
            </w:r>
          </w:p>
          <w:p>
            <w:pPr>
              <w:spacing w:line="280" w:lineRule="exact"/>
              <w:ind w:firstLine="420" w:firstLineChars="200"/>
              <w:rPr>
                <w:rFonts w:hint="eastAsia"/>
                <w:lang w:val="en-US" w:eastAsia="zh-CN"/>
              </w:rPr>
            </w:pPr>
          </w:p>
        </w:tc>
        <w:tc>
          <w:tcPr>
            <w:tcW w:w="10455" w:type="dxa"/>
          </w:tcPr>
          <w:p>
            <w:pPr>
              <w:spacing w:line="280" w:lineRule="exact"/>
              <w:ind w:firstLine="420" w:firstLineChars="200"/>
              <w:rPr>
                <w:rFonts w:hint="default"/>
                <w:lang w:val="en-US" w:eastAsia="zh-CN"/>
              </w:rPr>
            </w:pPr>
            <w:r>
              <w:rPr>
                <w:rFonts w:hint="eastAsia"/>
                <w:lang w:val="en-US" w:eastAsia="zh-CN"/>
              </w:rPr>
              <w:t>从采购部负责人戴瑶了解到，采购部识别的外部供方的财产包括：资质证明文件（如营业执照和其它资质文件）、银行账号、联系方式、经营地址及档案资料等信息，采购部由部门专门人员负责管理，分类登记放置。未发生损坏丢失等现象，基本满足控制要求。</w:t>
            </w:r>
          </w:p>
        </w:tc>
        <w:tc>
          <w:tcPr>
            <w:tcW w:w="1134" w:type="dxa"/>
          </w:tcPr>
          <w:p>
            <w:pPr>
              <w:rPr>
                <w:rFonts w:ascii="楷体" w:hAnsi="楷体" w:eastAsia="楷体"/>
                <w:color w:val="FF0000"/>
                <w:sz w:val="24"/>
                <w:szCs w:val="24"/>
              </w:rPr>
            </w:pPr>
          </w:p>
        </w:tc>
      </w:tr>
    </w:tbl>
    <w:p>
      <w:pPr>
        <w:pStyle w:val="5"/>
      </w:pPr>
      <w:r>
        <w:rPr>
          <w:rFonts w:hint="eastAsia" w:ascii="楷体" w:hAnsi="楷体" w:eastAsia="楷体"/>
          <w:sz w:val="21"/>
          <w:szCs w:val="21"/>
        </w:rPr>
        <w:t>说明：不符合标注N</w:t>
      </w:r>
      <w:r>
        <w:rPr>
          <w:rFonts w:hint="eastAsia" w:ascii="楷体" w:hAnsi="楷体" w:eastAsia="楷体"/>
          <w:sz w:val="21"/>
          <w:szCs w:val="21"/>
          <w:lang w:eastAsia="zh-CN"/>
        </w:rPr>
        <w:t>，</w:t>
      </w:r>
      <w:r>
        <w:rPr>
          <w:rFonts w:hint="eastAsia" w:ascii="楷体" w:hAnsi="楷体" w:eastAsia="楷体"/>
          <w:sz w:val="21"/>
          <w:szCs w:val="21"/>
          <w:lang w:val="en-US" w:eastAsia="zh-CN"/>
        </w:rPr>
        <w:t>QEO记录已由组长进行整合。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D4603"/>
    <w:rsid w:val="00BC57CD"/>
    <w:rsid w:val="03412871"/>
    <w:rsid w:val="0548056B"/>
    <w:rsid w:val="089B0621"/>
    <w:rsid w:val="099F15D7"/>
    <w:rsid w:val="0C6459D0"/>
    <w:rsid w:val="0C9F6AEC"/>
    <w:rsid w:val="0E470BFB"/>
    <w:rsid w:val="0FF05F75"/>
    <w:rsid w:val="10656506"/>
    <w:rsid w:val="108C0860"/>
    <w:rsid w:val="12AB6C65"/>
    <w:rsid w:val="12EC0DAE"/>
    <w:rsid w:val="14217A06"/>
    <w:rsid w:val="158C323C"/>
    <w:rsid w:val="15F807A0"/>
    <w:rsid w:val="19CD3CBE"/>
    <w:rsid w:val="1CDB7EE5"/>
    <w:rsid w:val="1DB92AAA"/>
    <w:rsid w:val="1DDF15A8"/>
    <w:rsid w:val="1FBB3819"/>
    <w:rsid w:val="21A00E17"/>
    <w:rsid w:val="2324276E"/>
    <w:rsid w:val="23312BF6"/>
    <w:rsid w:val="23D45CC3"/>
    <w:rsid w:val="24185C39"/>
    <w:rsid w:val="2483493D"/>
    <w:rsid w:val="261323A8"/>
    <w:rsid w:val="269640B9"/>
    <w:rsid w:val="27D26466"/>
    <w:rsid w:val="2DB52179"/>
    <w:rsid w:val="2DE955F1"/>
    <w:rsid w:val="2E9C0FE0"/>
    <w:rsid w:val="308E3697"/>
    <w:rsid w:val="309F5F06"/>
    <w:rsid w:val="31337021"/>
    <w:rsid w:val="31A70C5D"/>
    <w:rsid w:val="338432F8"/>
    <w:rsid w:val="36FD0B66"/>
    <w:rsid w:val="381E093C"/>
    <w:rsid w:val="3929797F"/>
    <w:rsid w:val="3C0D06AF"/>
    <w:rsid w:val="3E2857BC"/>
    <w:rsid w:val="3E426B66"/>
    <w:rsid w:val="3EFC64FA"/>
    <w:rsid w:val="3FE5127A"/>
    <w:rsid w:val="41DC353F"/>
    <w:rsid w:val="43866F99"/>
    <w:rsid w:val="43FE0C16"/>
    <w:rsid w:val="44134353"/>
    <w:rsid w:val="47C647FF"/>
    <w:rsid w:val="49235E4B"/>
    <w:rsid w:val="4C5B7332"/>
    <w:rsid w:val="4C971C64"/>
    <w:rsid w:val="4D2873FF"/>
    <w:rsid w:val="512A32DA"/>
    <w:rsid w:val="593A6404"/>
    <w:rsid w:val="5C082009"/>
    <w:rsid w:val="5CF64305"/>
    <w:rsid w:val="5D2440D9"/>
    <w:rsid w:val="5EB822A5"/>
    <w:rsid w:val="61CF7D3D"/>
    <w:rsid w:val="61F42441"/>
    <w:rsid w:val="64713622"/>
    <w:rsid w:val="65272A2C"/>
    <w:rsid w:val="68D01098"/>
    <w:rsid w:val="6A5B6AE9"/>
    <w:rsid w:val="6DAF2107"/>
    <w:rsid w:val="6EFE40B6"/>
    <w:rsid w:val="6F076887"/>
    <w:rsid w:val="70A55C96"/>
    <w:rsid w:val="72E7714B"/>
    <w:rsid w:val="766E250E"/>
    <w:rsid w:val="78FA19E0"/>
    <w:rsid w:val="79487052"/>
    <w:rsid w:val="7A960FB8"/>
    <w:rsid w:val="7D306FB8"/>
    <w:rsid w:val="7DF87AA6"/>
    <w:rsid w:val="7DFC3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w:basedOn w:val="1"/>
    <w:qFormat/>
    <w:uiPriority w:val="0"/>
    <w:pPr>
      <w:spacing w:line="312" w:lineRule="auto"/>
    </w:pPr>
    <w:rPr>
      <w:rFonts w:ascii="Arial" w:hAnsi="Arial" w:eastAsia="楷体_GB2312"/>
      <w:spacing w:val="20"/>
      <w:sz w:val="24"/>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_Style 2"/>
    <w:basedOn w:val="1"/>
    <w:qFormat/>
    <w:uiPriority w:val="34"/>
    <w:pPr>
      <w:widowControl/>
      <w:ind w:firstLine="420" w:firstLineChars="200"/>
      <w:jc w:val="left"/>
    </w:pPr>
    <w:rPr>
      <w:kern w:val="0"/>
      <w:sz w:val="20"/>
      <w:lang w:eastAsia="en-US"/>
    </w:rPr>
  </w:style>
  <w:style w:type="paragraph" w:customStyle="1" w:styleId="9">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2021-09-18T07:19:00Z</dcterms:created>
  <dc:creator>lenovo</dc:creator>
  <cp:lastModifiedBy>wangxianhua</cp:lastModifiedBy>
  <dcterms:modified xsi:type="dcterms:W3CDTF">2021-12-04T05:07:48Z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0669560A28844178B7D34F37E86F9B7B</vt:lpwstr>
  </property>
</Properties>
</file>