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sz w:val="36"/>
          <w:szCs w:val="36"/>
        </w:rPr>
      </w:pPr>
      <w:r>
        <w:rPr>
          <w:rFonts w:hint="eastAsia" w:ascii="隶书" w:hAnsi="宋体" w:eastAsia="隶书"/>
          <w:bCs/>
          <w:sz w:val="36"/>
          <w:szCs w:val="36"/>
        </w:rPr>
        <w:t>管理体系审核记录表</w:t>
      </w:r>
    </w:p>
    <w:tbl>
      <w:tblPr>
        <w:tblStyle w:val="8"/>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955"/>
        <w:gridCol w:w="11661"/>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242" w:type="dxa"/>
            <w:vMerge w:val="restart"/>
            <w:vAlign w:val="center"/>
          </w:tcPr>
          <w:p>
            <w:pPr>
              <w:spacing w:before="120"/>
              <w:jc w:val="center"/>
              <w:rPr>
                <w:rFonts w:hint="eastAsia" w:ascii="宋体" w:hAnsi="宋体" w:eastAsia="宋体" w:cs="宋体"/>
                <w:sz w:val="21"/>
                <w:szCs w:val="21"/>
              </w:rPr>
            </w:pPr>
            <w:r>
              <w:rPr>
                <w:rFonts w:hint="eastAsia" w:ascii="宋体" w:hAnsi="宋体" w:eastAsia="宋体" w:cs="宋体"/>
                <w:sz w:val="21"/>
                <w:szCs w:val="21"/>
              </w:rPr>
              <w:t>过程与活动、</w:t>
            </w:r>
          </w:p>
          <w:p>
            <w:pPr>
              <w:jc w:val="center"/>
              <w:rPr>
                <w:rFonts w:hint="eastAsia" w:ascii="宋体" w:hAnsi="宋体" w:eastAsia="宋体" w:cs="宋体"/>
                <w:sz w:val="21"/>
                <w:szCs w:val="21"/>
              </w:rPr>
            </w:pPr>
            <w:r>
              <w:rPr>
                <w:rFonts w:hint="eastAsia" w:ascii="宋体" w:hAnsi="宋体" w:eastAsia="宋体" w:cs="宋体"/>
                <w:sz w:val="21"/>
                <w:szCs w:val="21"/>
              </w:rPr>
              <w:t>抽样计划</w:t>
            </w:r>
          </w:p>
        </w:tc>
        <w:tc>
          <w:tcPr>
            <w:tcW w:w="955" w:type="dxa"/>
            <w:vMerge w:val="restart"/>
            <w:vAlign w:val="center"/>
          </w:tcPr>
          <w:p>
            <w:pPr>
              <w:rPr>
                <w:rFonts w:hint="eastAsia" w:ascii="宋体" w:hAnsi="宋体" w:eastAsia="宋体" w:cs="宋体"/>
                <w:sz w:val="21"/>
                <w:szCs w:val="21"/>
              </w:rPr>
            </w:pPr>
            <w:r>
              <w:rPr>
                <w:rFonts w:hint="eastAsia" w:ascii="宋体" w:hAnsi="宋体" w:eastAsia="宋体" w:cs="宋体"/>
                <w:sz w:val="21"/>
                <w:szCs w:val="21"/>
              </w:rPr>
              <w:t>涉及</w:t>
            </w:r>
          </w:p>
          <w:p>
            <w:pPr>
              <w:rPr>
                <w:rFonts w:hint="eastAsia" w:ascii="宋体" w:hAnsi="宋体" w:eastAsia="宋体" w:cs="宋体"/>
                <w:sz w:val="21"/>
                <w:szCs w:val="21"/>
              </w:rPr>
            </w:pPr>
            <w:r>
              <w:rPr>
                <w:rFonts w:hint="eastAsia" w:ascii="宋体" w:hAnsi="宋体" w:eastAsia="宋体" w:cs="宋体"/>
                <w:sz w:val="21"/>
                <w:szCs w:val="21"/>
              </w:rPr>
              <w:t>条款</w:t>
            </w:r>
          </w:p>
        </w:tc>
        <w:tc>
          <w:tcPr>
            <w:tcW w:w="11661" w:type="dxa"/>
            <w:vAlign w:val="center"/>
          </w:tcPr>
          <w:p>
            <w:pPr>
              <w:rPr>
                <w:rFonts w:hint="eastAsia" w:ascii="宋体" w:hAnsi="宋体" w:eastAsia="宋体" w:cs="宋体"/>
                <w:sz w:val="21"/>
                <w:szCs w:val="21"/>
                <w:lang w:val="en-US" w:eastAsia="zh-CN"/>
              </w:rPr>
            </w:pPr>
            <w:r>
              <w:rPr>
                <w:rFonts w:hint="eastAsia" w:ascii="宋体" w:hAnsi="宋体" w:eastAsia="宋体" w:cs="宋体"/>
                <w:sz w:val="21"/>
                <w:szCs w:val="21"/>
              </w:rPr>
              <w:t>受审核部门：管理</w:t>
            </w:r>
            <w:r>
              <w:rPr>
                <w:rFonts w:hint="eastAsia" w:ascii="宋体" w:hAnsi="宋体" w:eastAsia="宋体" w:cs="宋体"/>
                <w:sz w:val="21"/>
                <w:szCs w:val="21"/>
                <w:lang w:val="en-US" w:eastAsia="zh-CN"/>
              </w:rPr>
              <w:t>层</w:t>
            </w:r>
            <w:r>
              <w:rPr>
                <w:rFonts w:hint="eastAsia" w:ascii="宋体" w:hAnsi="宋体" w:eastAsia="宋体" w:cs="宋体"/>
                <w:sz w:val="21"/>
                <w:szCs w:val="21"/>
                <w:lang w:eastAsia="zh-CN"/>
              </w:rPr>
              <w:t>；</w:t>
            </w:r>
            <w:r>
              <w:rPr>
                <w:rFonts w:hint="eastAsia" w:ascii="宋体" w:hAnsi="宋体" w:eastAsia="宋体" w:cs="宋体"/>
                <w:sz w:val="21"/>
                <w:szCs w:val="21"/>
              </w:rPr>
              <w:t>主管领导/陪同人员</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彭秋香</w:t>
            </w:r>
            <w:r>
              <w:rPr>
                <w:rFonts w:hint="eastAsia" w:ascii="宋体" w:hAnsi="宋体" w:cs="宋体"/>
                <w:sz w:val="21"/>
                <w:szCs w:val="21"/>
                <w:lang w:val="en-US" w:eastAsia="zh-CN"/>
              </w:rPr>
              <w:t>/</w:t>
            </w:r>
            <w:r>
              <w:rPr>
                <w:rFonts w:hint="eastAsia" w:ascii="宋体" w:hAnsi="宋体" w:eastAsia="宋体" w:cs="宋体"/>
                <w:sz w:val="21"/>
                <w:szCs w:val="21"/>
                <w:lang w:val="en-US" w:eastAsia="zh-CN"/>
              </w:rPr>
              <w:t>寇威</w:t>
            </w:r>
          </w:p>
        </w:tc>
        <w:tc>
          <w:tcPr>
            <w:tcW w:w="851" w:type="dxa"/>
            <w:vMerge w:val="restart"/>
            <w:vAlign w:val="center"/>
          </w:tcPr>
          <w:p>
            <w:pPr>
              <w:rPr>
                <w:rFonts w:ascii="华文楷体" w:hAnsi="华文楷体" w:eastAsia="华文楷体"/>
                <w:sz w:val="24"/>
                <w:szCs w:val="24"/>
              </w:rPr>
            </w:pPr>
            <w:r>
              <w:rPr>
                <w:rFonts w:hint="eastAsia" w:ascii="华文楷体" w:hAnsi="华文楷体" w:eastAsia="华文楷体"/>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242" w:type="dxa"/>
            <w:vMerge w:val="continue"/>
            <w:vAlign w:val="center"/>
          </w:tcPr>
          <w:p>
            <w:pPr>
              <w:rPr>
                <w:rFonts w:hint="eastAsia" w:ascii="宋体" w:hAnsi="宋体" w:eastAsia="宋体" w:cs="宋体"/>
                <w:sz w:val="21"/>
                <w:szCs w:val="21"/>
              </w:rPr>
            </w:pPr>
          </w:p>
        </w:tc>
        <w:tc>
          <w:tcPr>
            <w:tcW w:w="955" w:type="dxa"/>
            <w:vMerge w:val="continue"/>
            <w:vAlign w:val="center"/>
          </w:tcPr>
          <w:p>
            <w:pPr>
              <w:rPr>
                <w:rFonts w:hint="eastAsia" w:ascii="宋体" w:hAnsi="宋体" w:eastAsia="宋体" w:cs="宋体"/>
                <w:sz w:val="21"/>
                <w:szCs w:val="21"/>
              </w:rPr>
            </w:pPr>
          </w:p>
        </w:tc>
        <w:tc>
          <w:tcPr>
            <w:tcW w:w="11661" w:type="dxa"/>
            <w:vAlign w:val="center"/>
          </w:tcPr>
          <w:p>
            <w:pPr>
              <w:spacing w:before="120"/>
              <w:rPr>
                <w:rFonts w:hint="eastAsia" w:ascii="宋体" w:hAnsi="宋体" w:eastAsia="宋体" w:cs="宋体"/>
                <w:sz w:val="21"/>
                <w:szCs w:val="21"/>
                <w:lang w:val="en-US" w:eastAsia="zh-CN"/>
              </w:rPr>
            </w:pPr>
            <w:r>
              <w:rPr>
                <w:rFonts w:hint="eastAsia" w:ascii="宋体" w:hAnsi="宋体" w:eastAsia="宋体" w:cs="宋体"/>
                <w:sz w:val="21"/>
                <w:szCs w:val="21"/>
              </w:rPr>
              <w:t>审核员：</w:t>
            </w:r>
            <w:r>
              <w:rPr>
                <w:rFonts w:hint="eastAsia" w:ascii="宋体" w:hAnsi="宋体" w:eastAsia="宋体" w:cs="宋体"/>
                <w:sz w:val="21"/>
                <w:szCs w:val="21"/>
                <w:lang w:val="en-US" w:eastAsia="zh-CN"/>
              </w:rPr>
              <w:t>王献华Q 林兵EO；</w:t>
            </w:r>
            <w:r>
              <w:rPr>
                <w:rFonts w:hint="eastAsia" w:ascii="宋体" w:hAnsi="宋体" w:eastAsia="宋体" w:cs="宋体"/>
                <w:sz w:val="21"/>
                <w:szCs w:val="21"/>
              </w:rPr>
              <w:t>审核时间：</w:t>
            </w:r>
            <w:r>
              <w:rPr>
                <w:rFonts w:hint="eastAsia" w:ascii="宋体" w:hAnsi="宋体" w:eastAsia="宋体" w:cs="宋体"/>
                <w:sz w:val="21"/>
                <w:szCs w:val="21"/>
                <w:lang w:val="en-US" w:eastAsia="zh-CN"/>
              </w:rPr>
              <w:t>2021.12.2 14:00-17:30</w:t>
            </w:r>
          </w:p>
        </w:tc>
        <w:tc>
          <w:tcPr>
            <w:tcW w:w="851" w:type="dxa"/>
            <w:vMerge w:val="continue"/>
          </w:tcPr>
          <w:p>
            <w:pPr>
              <w:rPr>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1" w:hRule="atLeast"/>
        </w:trPr>
        <w:tc>
          <w:tcPr>
            <w:tcW w:w="1242" w:type="dxa"/>
            <w:vMerge w:val="continue"/>
            <w:vAlign w:val="center"/>
          </w:tcPr>
          <w:p>
            <w:pPr>
              <w:rPr>
                <w:rFonts w:hint="eastAsia" w:ascii="宋体" w:hAnsi="宋体" w:eastAsia="宋体" w:cs="宋体"/>
                <w:color w:val="FF0000"/>
                <w:sz w:val="21"/>
                <w:szCs w:val="21"/>
              </w:rPr>
            </w:pPr>
          </w:p>
        </w:tc>
        <w:tc>
          <w:tcPr>
            <w:tcW w:w="955" w:type="dxa"/>
            <w:vMerge w:val="continue"/>
            <w:vAlign w:val="center"/>
          </w:tcPr>
          <w:p>
            <w:pPr>
              <w:rPr>
                <w:rFonts w:hint="eastAsia" w:ascii="宋体" w:hAnsi="宋体" w:eastAsia="宋体" w:cs="宋体"/>
                <w:color w:val="FF0000"/>
                <w:sz w:val="21"/>
                <w:szCs w:val="21"/>
              </w:rPr>
            </w:pPr>
          </w:p>
        </w:tc>
        <w:tc>
          <w:tcPr>
            <w:tcW w:w="11661" w:type="dxa"/>
            <w:vAlign w:val="center"/>
          </w:tcPr>
          <w:p>
            <w:pPr>
              <w:adjustRightInd w:val="0"/>
              <w:snapToGrid w:val="0"/>
              <w:ind w:right="105" w:rightChars="50"/>
              <w:textAlignment w:val="baseline"/>
              <w:rPr>
                <w:rFonts w:hint="eastAsia" w:ascii="宋体" w:hAnsi="宋体" w:eastAsia="宋体" w:cs="宋体"/>
                <w:spacing w:val="-6"/>
                <w:sz w:val="21"/>
                <w:szCs w:val="21"/>
              </w:rPr>
            </w:pPr>
            <w:r>
              <w:rPr>
                <w:rFonts w:hint="eastAsia" w:ascii="宋体" w:hAnsi="宋体" w:eastAsia="宋体" w:cs="宋体"/>
                <w:spacing w:val="-6"/>
                <w:sz w:val="21"/>
                <w:szCs w:val="21"/>
              </w:rPr>
              <w:t>QEO</w:t>
            </w:r>
            <w:r>
              <w:rPr>
                <w:rFonts w:hint="eastAsia" w:ascii="宋体" w:hAnsi="宋体" w:eastAsia="宋体" w:cs="宋体"/>
                <w:spacing w:val="-6"/>
                <w:sz w:val="21"/>
                <w:szCs w:val="21"/>
                <w:lang w:eastAsia="zh-CN"/>
              </w:rPr>
              <w:t>：</w:t>
            </w:r>
            <w:r>
              <w:rPr>
                <w:rFonts w:hint="eastAsia" w:ascii="宋体" w:hAnsi="宋体" w:eastAsia="宋体" w:cs="宋体"/>
                <w:spacing w:val="-6"/>
                <w:sz w:val="21"/>
                <w:szCs w:val="21"/>
              </w:rPr>
              <w:t>4.1理解组织及其环境、4.2理解相关方的需求和期望、4.3 确定管理体系的范围、4.4质量/环境/</w:t>
            </w:r>
            <w:r>
              <w:rPr>
                <w:rFonts w:hint="eastAsia" w:ascii="宋体" w:hAnsi="宋体" w:eastAsia="宋体" w:cs="宋体"/>
                <w:sz w:val="21"/>
                <w:szCs w:val="21"/>
              </w:rPr>
              <w:t>职业健康</w:t>
            </w:r>
            <w:r>
              <w:rPr>
                <w:rFonts w:hint="eastAsia" w:ascii="宋体" w:hAnsi="宋体" w:eastAsia="宋体" w:cs="宋体"/>
                <w:spacing w:val="-6"/>
                <w:sz w:val="21"/>
                <w:szCs w:val="21"/>
              </w:rPr>
              <w:t>安全管理体系及其过程、5.1领导作用和承诺、5.2质量/环境/</w:t>
            </w:r>
            <w:r>
              <w:rPr>
                <w:rFonts w:hint="eastAsia" w:ascii="宋体" w:hAnsi="宋体" w:eastAsia="宋体" w:cs="宋体"/>
                <w:sz w:val="21"/>
                <w:szCs w:val="21"/>
              </w:rPr>
              <w:t>职业健康</w:t>
            </w:r>
            <w:r>
              <w:rPr>
                <w:rFonts w:hint="eastAsia" w:ascii="宋体" w:hAnsi="宋体" w:eastAsia="宋体" w:cs="宋体"/>
                <w:spacing w:val="-6"/>
                <w:sz w:val="21"/>
                <w:szCs w:val="21"/>
              </w:rPr>
              <w:t>安全方针、5.3组织的岗位、职责和权限、5.4协商与参与</w:t>
            </w:r>
            <w:r>
              <w:rPr>
                <w:rFonts w:hint="eastAsia" w:ascii="宋体" w:hAnsi="宋体" w:eastAsia="宋体" w:cs="宋体"/>
                <w:spacing w:val="-6"/>
                <w:sz w:val="21"/>
                <w:szCs w:val="21"/>
                <w:lang w:eastAsia="zh-CN"/>
              </w:rPr>
              <w:t>（</w:t>
            </w:r>
            <w:r>
              <w:rPr>
                <w:rFonts w:hint="eastAsia" w:ascii="宋体" w:hAnsi="宋体" w:eastAsia="宋体" w:cs="宋体"/>
                <w:spacing w:val="-6"/>
                <w:sz w:val="21"/>
                <w:szCs w:val="21"/>
                <w:lang w:val="en-US" w:eastAsia="zh-CN"/>
              </w:rPr>
              <w:t>O</w:t>
            </w:r>
            <w:r>
              <w:rPr>
                <w:rFonts w:hint="eastAsia" w:ascii="宋体" w:hAnsi="宋体" w:eastAsia="宋体" w:cs="宋体"/>
                <w:spacing w:val="-6"/>
                <w:sz w:val="21"/>
                <w:szCs w:val="21"/>
                <w:lang w:eastAsia="zh-CN"/>
              </w:rPr>
              <w:t>）</w:t>
            </w:r>
            <w:r>
              <w:rPr>
                <w:rFonts w:hint="eastAsia" w:ascii="宋体" w:hAnsi="宋体" w:eastAsia="宋体" w:cs="宋体"/>
                <w:spacing w:val="-6"/>
                <w:sz w:val="21"/>
                <w:szCs w:val="21"/>
              </w:rPr>
              <w:t>、6.1应对风险和机遇的措施</w:t>
            </w:r>
            <w:r>
              <w:rPr>
                <w:rFonts w:hint="eastAsia" w:ascii="宋体" w:hAnsi="宋体" w:eastAsia="宋体" w:cs="宋体"/>
                <w:spacing w:val="-6"/>
                <w:sz w:val="21"/>
                <w:szCs w:val="21"/>
                <w:lang w:val="en-US" w:eastAsia="zh-CN"/>
              </w:rPr>
              <w:t>策划（EO6.1.1、6.1.4）</w:t>
            </w:r>
            <w:r>
              <w:rPr>
                <w:rFonts w:hint="eastAsia" w:ascii="宋体" w:hAnsi="宋体" w:eastAsia="宋体" w:cs="宋体"/>
                <w:spacing w:val="-6"/>
                <w:sz w:val="21"/>
                <w:szCs w:val="21"/>
              </w:rPr>
              <w:t>、6.2质量/环境/</w:t>
            </w:r>
            <w:r>
              <w:rPr>
                <w:rFonts w:hint="eastAsia" w:ascii="宋体" w:hAnsi="宋体" w:eastAsia="宋体" w:cs="宋体"/>
                <w:sz w:val="21"/>
                <w:szCs w:val="21"/>
              </w:rPr>
              <w:t>职业健康</w:t>
            </w:r>
            <w:r>
              <w:rPr>
                <w:rFonts w:hint="eastAsia" w:ascii="宋体" w:hAnsi="宋体" w:eastAsia="宋体" w:cs="宋体"/>
                <w:spacing w:val="-6"/>
                <w:sz w:val="21"/>
                <w:szCs w:val="21"/>
              </w:rPr>
              <w:t>安全目标及其实现的策划、Q6.3变更的策划、7.1.1（EO7.1）资源总则、7.4沟通/信息交流、9.3管理评审、10.1改进</w:t>
            </w:r>
            <w:r>
              <w:rPr>
                <w:rFonts w:hint="eastAsia" w:ascii="宋体" w:hAnsi="宋体" w:eastAsia="宋体" w:cs="宋体"/>
                <w:spacing w:val="-6"/>
                <w:sz w:val="21"/>
                <w:szCs w:val="21"/>
                <w:lang w:val="en-US" w:eastAsia="zh-CN"/>
              </w:rPr>
              <w:t>总则</w:t>
            </w:r>
            <w:r>
              <w:rPr>
                <w:rFonts w:hint="eastAsia" w:ascii="宋体" w:hAnsi="宋体" w:eastAsia="宋体" w:cs="宋体"/>
                <w:spacing w:val="-6"/>
                <w:sz w:val="21"/>
                <w:szCs w:val="21"/>
              </w:rPr>
              <w:t>、10.3持续改进</w:t>
            </w:r>
          </w:p>
          <w:p>
            <w:pPr>
              <w:adjustRightInd w:val="0"/>
              <w:snapToGrid w:val="0"/>
              <w:ind w:right="105" w:rightChars="50"/>
              <w:textAlignment w:val="baseline"/>
              <w:rPr>
                <w:rFonts w:hint="eastAsia" w:ascii="宋体" w:hAnsi="宋体" w:eastAsia="宋体" w:cs="宋体"/>
                <w:color w:val="FF0000"/>
                <w:spacing w:val="-6"/>
                <w:sz w:val="21"/>
                <w:szCs w:val="21"/>
              </w:rPr>
            </w:pPr>
            <w:r>
              <w:rPr>
                <w:rFonts w:hint="eastAsia" w:ascii="宋体" w:hAnsi="宋体" w:eastAsia="宋体" w:cs="宋体"/>
                <w:spacing w:val="-6"/>
                <w:sz w:val="21"/>
                <w:szCs w:val="21"/>
              </w:rPr>
              <w:t>验证企业相关资质证明的有效性；国家/地方监督抽查情况；相关方投诉及处理情况；一阶段问题验证</w:t>
            </w:r>
            <w:r>
              <w:rPr>
                <w:rFonts w:hint="eastAsia" w:ascii="宋体" w:hAnsi="宋体" w:eastAsia="宋体" w:cs="宋体"/>
                <w:spacing w:val="-6"/>
                <w:sz w:val="21"/>
                <w:szCs w:val="21"/>
                <w:lang w:eastAsia="zh-CN"/>
              </w:rPr>
              <w:t>；</w:t>
            </w:r>
            <w:bookmarkStart w:id="4" w:name="_GoBack"/>
            <w:bookmarkEnd w:id="4"/>
          </w:p>
        </w:tc>
        <w:tc>
          <w:tcPr>
            <w:tcW w:w="851" w:type="dxa"/>
            <w:vMerge w:val="continue"/>
          </w:tcPr>
          <w:p>
            <w:pPr>
              <w:rPr>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8" w:hRule="atLeast"/>
        </w:trPr>
        <w:tc>
          <w:tcPr>
            <w:tcW w:w="1242" w:type="dxa"/>
          </w:tcPr>
          <w:p>
            <w:pPr>
              <w:spacing w:line="280" w:lineRule="exact"/>
              <w:rPr>
                <w:rFonts w:hint="eastAsia" w:ascii="宋体" w:hAnsi="宋体" w:eastAsia="宋体" w:cs="宋体"/>
                <w:sz w:val="21"/>
                <w:szCs w:val="21"/>
              </w:rPr>
            </w:pPr>
            <w:r>
              <w:rPr>
                <w:rFonts w:hint="eastAsia" w:ascii="宋体" w:hAnsi="宋体" w:eastAsia="宋体" w:cs="宋体"/>
                <w:sz w:val="21"/>
                <w:szCs w:val="21"/>
              </w:rPr>
              <w:t>理解组织及其环境总要求</w:t>
            </w:r>
          </w:p>
          <w:p>
            <w:pPr>
              <w:spacing w:line="280" w:lineRule="exact"/>
              <w:rPr>
                <w:rFonts w:hint="eastAsia" w:ascii="宋体" w:hAnsi="宋体" w:eastAsia="宋体" w:cs="宋体"/>
                <w:b/>
                <w:sz w:val="21"/>
                <w:szCs w:val="21"/>
              </w:rPr>
            </w:pPr>
          </w:p>
        </w:tc>
        <w:tc>
          <w:tcPr>
            <w:tcW w:w="955" w:type="dxa"/>
          </w:tcPr>
          <w:p>
            <w:pPr>
              <w:spacing w:line="280" w:lineRule="exact"/>
              <w:rPr>
                <w:rFonts w:hint="eastAsia" w:ascii="宋体" w:hAnsi="宋体" w:eastAsia="宋体" w:cs="宋体"/>
                <w:sz w:val="21"/>
                <w:szCs w:val="21"/>
              </w:rPr>
            </w:pPr>
            <w:r>
              <w:rPr>
                <w:rFonts w:hint="eastAsia" w:ascii="宋体" w:hAnsi="宋体" w:eastAsia="宋体" w:cs="宋体"/>
                <w:sz w:val="21"/>
                <w:szCs w:val="21"/>
              </w:rPr>
              <w:t>QEO4.1</w:t>
            </w:r>
          </w:p>
          <w:p>
            <w:pPr>
              <w:spacing w:line="280" w:lineRule="exact"/>
              <w:rPr>
                <w:rFonts w:hint="eastAsia" w:ascii="宋体" w:hAnsi="宋体" w:eastAsia="宋体" w:cs="宋体"/>
                <w:b/>
                <w:sz w:val="21"/>
                <w:szCs w:val="21"/>
              </w:rPr>
            </w:pPr>
          </w:p>
        </w:tc>
        <w:tc>
          <w:tcPr>
            <w:tcW w:w="11661" w:type="dxa"/>
            <w:vAlign w:val="center"/>
          </w:tcPr>
          <w:p>
            <w:pPr>
              <w:spacing w:line="280" w:lineRule="exact"/>
              <w:ind w:firstLine="420" w:firstLineChars="200"/>
              <w:rPr>
                <w:rFonts w:hint="eastAsia" w:ascii="宋体" w:hAnsi="宋体" w:eastAsia="宋体" w:cs="宋体"/>
                <w:sz w:val="21"/>
                <w:szCs w:val="21"/>
                <w:lang w:eastAsia="zh-CN"/>
              </w:rPr>
            </w:pPr>
            <w:r>
              <w:rPr>
                <w:rFonts w:hint="eastAsia" w:ascii="宋体" w:hAnsi="宋体" w:eastAsia="宋体" w:cs="宋体"/>
                <w:sz w:val="21"/>
                <w:szCs w:val="21"/>
                <w:lang w:val="en-US" w:eastAsia="zh-CN"/>
              </w:rPr>
              <w:t>组织2003</w:t>
            </w:r>
            <w:r>
              <w:rPr>
                <w:rFonts w:hint="eastAsia" w:ascii="宋体" w:hAnsi="宋体" w:eastAsia="宋体" w:cs="宋体"/>
                <w:sz w:val="21"/>
                <w:szCs w:val="21"/>
              </w:rPr>
              <w:t>年</w:t>
            </w:r>
            <w:r>
              <w:rPr>
                <w:rFonts w:hint="eastAsia" w:ascii="宋体" w:hAnsi="宋体" w:eastAsia="宋体" w:cs="宋体"/>
                <w:sz w:val="21"/>
                <w:szCs w:val="21"/>
                <w:lang w:val="en-US" w:eastAsia="zh-CN"/>
              </w:rPr>
              <w:t>9</w:t>
            </w:r>
            <w:r>
              <w:rPr>
                <w:rFonts w:hint="eastAsia" w:ascii="宋体" w:hAnsi="宋体" w:eastAsia="宋体" w:cs="宋体"/>
                <w:sz w:val="21"/>
                <w:szCs w:val="21"/>
              </w:rPr>
              <w:t>月</w:t>
            </w:r>
            <w:r>
              <w:rPr>
                <w:rFonts w:hint="eastAsia" w:ascii="宋体" w:hAnsi="宋体" w:eastAsia="宋体" w:cs="宋体"/>
                <w:sz w:val="21"/>
                <w:szCs w:val="21"/>
                <w:lang w:val="en-US" w:eastAsia="zh-CN"/>
              </w:rPr>
              <w:t>29日</w:t>
            </w:r>
            <w:r>
              <w:rPr>
                <w:rFonts w:hint="eastAsia" w:ascii="宋体" w:hAnsi="宋体" w:eastAsia="宋体" w:cs="宋体"/>
                <w:sz w:val="21"/>
                <w:szCs w:val="21"/>
              </w:rPr>
              <w:t>注册</w:t>
            </w:r>
            <w:r>
              <w:rPr>
                <w:rFonts w:hint="eastAsia" w:ascii="宋体" w:hAnsi="宋体" w:eastAsia="宋体" w:cs="宋体"/>
                <w:sz w:val="21"/>
                <w:szCs w:val="21"/>
                <w:lang w:eastAsia="zh-CN"/>
              </w:rPr>
              <w:t>；</w:t>
            </w:r>
            <w:r>
              <w:rPr>
                <w:rFonts w:hint="eastAsia" w:ascii="宋体" w:hAnsi="宋体" w:eastAsia="宋体" w:cs="宋体"/>
                <w:sz w:val="21"/>
                <w:szCs w:val="21"/>
              </w:rPr>
              <w:t>法人：</w:t>
            </w:r>
            <w:r>
              <w:rPr>
                <w:rFonts w:hint="eastAsia" w:ascii="宋体" w:hAnsi="宋体" w:eastAsia="宋体" w:cs="宋体"/>
                <w:sz w:val="21"/>
                <w:szCs w:val="21"/>
                <w:lang w:val="en-US" w:eastAsia="zh-CN"/>
              </w:rPr>
              <w:t>黄中福</w:t>
            </w:r>
            <w:r>
              <w:rPr>
                <w:rFonts w:hint="eastAsia" w:ascii="宋体" w:hAnsi="宋体" w:eastAsia="宋体" w:cs="宋体"/>
                <w:sz w:val="21"/>
                <w:szCs w:val="21"/>
                <w:lang w:eastAsia="zh-CN"/>
              </w:rPr>
              <w:t>；</w:t>
            </w:r>
            <w:r>
              <w:rPr>
                <w:rFonts w:hint="eastAsia" w:ascii="宋体" w:hAnsi="宋体" w:eastAsia="宋体" w:cs="宋体"/>
                <w:sz w:val="21"/>
                <w:szCs w:val="21"/>
              </w:rPr>
              <w:t>总经理</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黄中福</w:t>
            </w:r>
            <w:r>
              <w:rPr>
                <w:rFonts w:hint="eastAsia" w:ascii="宋体" w:hAnsi="宋体" w:eastAsia="宋体" w:cs="宋体"/>
                <w:sz w:val="21"/>
                <w:szCs w:val="21"/>
                <w:lang w:eastAsia="zh-CN"/>
              </w:rPr>
              <w:t>；</w:t>
            </w:r>
          </w:p>
          <w:p>
            <w:pPr>
              <w:spacing w:line="280" w:lineRule="exact"/>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rPr>
              <w:t>注册地址</w:t>
            </w:r>
            <w:r>
              <w:rPr>
                <w:rFonts w:hint="eastAsia" w:ascii="宋体" w:hAnsi="宋体" w:eastAsia="宋体" w:cs="宋体"/>
                <w:sz w:val="21"/>
                <w:szCs w:val="21"/>
                <w:lang w:val="en-US" w:eastAsia="zh-CN"/>
              </w:rPr>
              <w:t>：</w:t>
            </w:r>
            <w:bookmarkStart w:id="0" w:name="生产地址"/>
            <w:r>
              <w:rPr>
                <w:rFonts w:hint="eastAsia" w:ascii="宋体" w:hAnsi="宋体" w:eastAsia="宋体" w:cs="宋体"/>
                <w:sz w:val="21"/>
                <w:szCs w:val="21"/>
                <w:lang w:val="en-US" w:eastAsia="zh-CN"/>
              </w:rPr>
              <w:t>萧山区经济技术开发区萧山桥南开发区块春潮路53号</w:t>
            </w:r>
            <w:bookmarkEnd w:id="0"/>
            <w:r>
              <w:rPr>
                <w:rFonts w:hint="eastAsia" w:ascii="宋体" w:hAnsi="宋体" w:eastAsia="宋体" w:cs="宋体"/>
                <w:sz w:val="21"/>
                <w:szCs w:val="21"/>
                <w:lang w:val="en-US" w:eastAsia="zh-CN"/>
              </w:rPr>
              <w:t>；</w:t>
            </w:r>
          </w:p>
          <w:p>
            <w:pPr>
              <w:spacing w:line="28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生产经营地址：</w:t>
            </w:r>
            <w:r>
              <w:rPr>
                <w:rFonts w:hint="eastAsia" w:ascii="宋体" w:hAnsi="宋体" w:eastAsia="宋体" w:cs="宋体"/>
                <w:sz w:val="21"/>
                <w:szCs w:val="21"/>
                <w:lang w:val="en-US" w:eastAsia="zh-CN"/>
              </w:rPr>
              <w:t>萧山区经济技术开发区萧山桥南开发区块春潮路53号</w:t>
            </w:r>
            <w:r>
              <w:rPr>
                <w:rFonts w:hint="eastAsia" w:ascii="宋体" w:hAnsi="宋体" w:eastAsia="宋体" w:cs="宋体"/>
                <w:sz w:val="21"/>
                <w:szCs w:val="21"/>
              </w:rPr>
              <w:t>；</w:t>
            </w:r>
          </w:p>
          <w:p>
            <w:pPr>
              <w:spacing w:line="280" w:lineRule="exact"/>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经核实，营业执照有效，见附件。其</w:t>
            </w:r>
            <w:r>
              <w:rPr>
                <w:rFonts w:hint="eastAsia" w:ascii="宋体" w:hAnsi="宋体" w:eastAsia="宋体" w:cs="宋体"/>
                <w:color w:val="auto"/>
                <w:sz w:val="21"/>
                <w:szCs w:val="21"/>
                <w:lang w:val="en-US" w:eastAsia="zh-CN"/>
              </w:rPr>
              <w:t>印刷经营许可证、全国工业品生产许可证、固定污染源排污登记回执、环评报告、环评批复、环评验收报告、环保验收复函，见附</w:t>
            </w:r>
            <w:r>
              <w:rPr>
                <w:rFonts w:hint="eastAsia" w:ascii="宋体" w:hAnsi="宋体" w:eastAsia="宋体" w:cs="宋体"/>
                <w:sz w:val="21"/>
                <w:szCs w:val="21"/>
                <w:lang w:val="en-US" w:eastAsia="zh-CN"/>
              </w:rPr>
              <w:t>件。</w:t>
            </w:r>
          </w:p>
          <w:p>
            <w:pPr>
              <w:spacing w:line="280" w:lineRule="exact"/>
              <w:ind w:firstLine="420" w:firstLineChars="200"/>
              <w:rPr>
                <w:rFonts w:hint="eastAsia" w:ascii="宋体" w:hAnsi="宋体" w:eastAsia="宋体" w:cs="宋体"/>
                <w:b/>
                <w:color w:val="FF0000"/>
                <w:sz w:val="21"/>
                <w:szCs w:val="21"/>
              </w:rPr>
            </w:pPr>
            <w:r>
              <w:rPr>
                <w:rFonts w:hint="eastAsia" w:ascii="宋体" w:hAnsi="宋体" w:eastAsia="宋体" w:cs="宋体"/>
                <w:sz w:val="21"/>
                <w:szCs w:val="21"/>
                <w:lang w:val="en-US" w:eastAsia="zh-CN"/>
              </w:rPr>
              <w:t>管理者代表彭秋香介绍：组织确定了与管理目标和战略方向相关并影响实现管理体系预期结果的各种内部因素（如企业文化等）和外部因素（如国际、国家、地区和当地的各种法律法规、技术、竞争、文化和社会因素等）。这些因素包括了需要考虑的正面和负面因素或条件。组织根据销售人员从市场、客户、网络等搜集到的信息并结合自身业务运作情况进行分析，通过分析对这些内部和外部因素的相关信息进行监视和评审以确保其充分和适宜。</w:t>
            </w:r>
          </w:p>
        </w:tc>
        <w:tc>
          <w:tcPr>
            <w:tcW w:w="851" w:type="dxa"/>
          </w:tcPr>
          <w:p>
            <w:pPr>
              <w:rPr>
                <w:rFonts w:hint="eastAsia" w:eastAsia="宋体"/>
                <w:color w:val="FF000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1242" w:type="dxa"/>
          </w:tcPr>
          <w:p>
            <w:pPr>
              <w:spacing w:line="280" w:lineRule="exac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理解相关方的需求和期望</w:t>
            </w:r>
          </w:p>
        </w:tc>
        <w:tc>
          <w:tcPr>
            <w:tcW w:w="955" w:type="dxa"/>
          </w:tcPr>
          <w:p>
            <w:pPr>
              <w:spacing w:line="280" w:lineRule="exac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QEO4.2</w:t>
            </w:r>
          </w:p>
          <w:p>
            <w:pPr>
              <w:spacing w:line="280" w:lineRule="exact"/>
              <w:ind w:firstLine="420" w:firstLineChars="200"/>
              <w:rPr>
                <w:rFonts w:hint="eastAsia" w:ascii="宋体" w:hAnsi="宋体" w:eastAsia="宋体" w:cs="宋体"/>
                <w:sz w:val="21"/>
                <w:szCs w:val="21"/>
                <w:lang w:val="en-US" w:eastAsia="zh-CN"/>
              </w:rPr>
            </w:pPr>
          </w:p>
        </w:tc>
        <w:tc>
          <w:tcPr>
            <w:tcW w:w="11661" w:type="dxa"/>
            <w:vAlign w:val="center"/>
          </w:tcPr>
          <w:p>
            <w:pPr>
              <w:spacing w:line="280" w:lineRule="exact"/>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经审核发现，组织考虑了以下相关方：①顾客②消费者③外部供方④员工⑤主管部门等⑥地方社区团体⑦非政府组织等。组织对这些相关方及其要求的相关信息进行监视和评审，以便于理解和持续满足相关方的需求和期望。</w:t>
            </w:r>
          </w:p>
          <w:p>
            <w:pPr>
              <w:spacing w:line="280" w:lineRule="exact"/>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目前顾客的主要需求期望是：提供顾客满意的产品和服务。</w:t>
            </w:r>
          </w:p>
        </w:tc>
        <w:tc>
          <w:tcPr>
            <w:tcW w:w="851" w:type="dxa"/>
          </w:tcPr>
          <w:p>
            <w:pPr>
              <w:rPr>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0" w:hRule="atLeast"/>
        </w:trPr>
        <w:tc>
          <w:tcPr>
            <w:tcW w:w="1242" w:type="dxa"/>
          </w:tcPr>
          <w:p>
            <w:pPr>
              <w:spacing w:line="280" w:lineRule="exac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确定管理体系的范围</w:t>
            </w:r>
          </w:p>
          <w:p>
            <w:pPr>
              <w:spacing w:line="280" w:lineRule="exact"/>
              <w:rPr>
                <w:rFonts w:hint="eastAsia" w:ascii="宋体" w:hAnsi="宋体" w:eastAsia="宋体" w:cs="宋体"/>
                <w:sz w:val="21"/>
                <w:szCs w:val="21"/>
                <w:lang w:val="en-US" w:eastAsia="zh-CN"/>
              </w:rPr>
            </w:pPr>
          </w:p>
        </w:tc>
        <w:tc>
          <w:tcPr>
            <w:tcW w:w="955" w:type="dxa"/>
          </w:tcPr>
          <w:p>
            <w:pPr>
              <w:spacing w:line="280" w:lineRule="exac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QEO 4.3</w:t>
            </w:r>
          </w:p>
          <w:p>
            <w:pPr>
              <w:spacing w:line="280" w:lineRule="exact"/>
              <w:rPr>
                <w:rFonts w:hint="eastAsia" w:ascii="宋体" w:hAnsi="宋体" w:eastAsia="宋体" w:cs="宋体"/>
                <w:sz w:val="21"/>
                <w:szCs w:val="21"/>
                <w:lang w:val="en-US" w:eastAsia="zh-CN"/>
              </w:rPr>
            </w:pPr>
          </w:p>
        </w:tc>
        <w:tc>
          <w:tcPr>
            <w:tcW w:w="11661" w:type="dxa"/>
            <w:vAlign w:val="center"/>
          </w:tcPr>
          <w:p>
            <w:pPr>
              <w:spacing w:line="280" w:lineRule="exact"/>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经现场核实确认，组织管理体系范围为：</w:t>
            </w:r>
          </w:p>
          <w:p>
            <w:pPr>
              <w:spacing w:line="280" w:lineRule="exact"/>
              <w:ind w:firstLine="420" w:firstLineChars="200"/>
              <w:rPr>
                <w:rFonts w:hint="eastAsia" w:ascii="宋体" w:hAnsi="宋体" w:eastAsia="宋体" w:cs="宋体"/>
                <w:sz w:val="21"/>
                <w:szCs w:val="21"/>
                <w:lang w:val="en-US" w:eastAsia="zh-CN"/>
              </w:rPr>
            </w:pPr>
            <w:bookmarkStart w:id="1" w:name="审核范围"/>
            <w:r>
              <w:rPr>
                <w:rFonts w:hint="eastAsia" w:ascii="宋体" w:hAnsi="宋体" w:eastAsia="宋体" w:cs="宋体"/>
                <w:sz w:val="21"/>
                <w:szCs w:val="21"/>
                <w:lang w:val="en-US" w:eastAsia="zh-CN"/>
              </w:rPr>
              <w:t>Q：许可证范围内食品用纸包装容器制品、食品用塑料包装容器制品的研发和生产</w:t>
            </w:r>
          </w:p>
          <w:p>
            <w:pPr>
              <w:spacing w:line="280" w:lineRule="exact"/>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E：许可证范围内食品用纸包装容器制品、食品用塑料包装容器制品的研发和生产所涉及场所的相关环境管理活动</w:t>
            </w:r>
          </w:p>
          <w:p>
            <w:pPr>
              <w:spacing w:line="280" w:lineRule="exact"/>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O：许可证范围内食品用纸包装容器制品、食品用塑料包装袋、包装膜的研发和生产所涉及场所的相关职业健康安全管理活动</w:t>
            </w:r>
            <w:bookmarkEnd w:id="1"/>
          </w:p>
          <w:p>
            <w:pPr>
              <w:spacing w:line="280" w:lineRule="exact"/>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不适用条款：无</w:t>
            </w:r>
          </w:p>
          <w:p>
            <w:pPr>
              <w:spacing w:line="280" w:lineRule="exact"/>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外包过程：物流。</w:t>
            </w:r>
          </w:p>
        </w:tc>
        <w:tc>
          <w:tcPr>
            <w:tcW w:w="851" w:type="dxa"/>
          </w:tcPr>
          <w:p>
            <w:pPr>
              <w:rPr>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1242" w:type="dxa"/>
          </w:tcPr>
          <w:p>
            <w:pPr>
              <w:rPr>
                <w:rFonts w:eastAsia="宋体"/>
                <w:sz w:val="20"/>
              </w:rPr>
            </w:pPr>
            <w:r>
              <w:rPr>
                <w:rFonts w:hint="eastAsia" w:eastAsia="宋体"/>
                <w:sz w:val="20"/>
              </w:rPr>
              <w:t>管理体系及其过程</w:t>
            </w:r>
          </w:p>
          <w:p>
            <w:pPr>
              <w:ind w:firstLine="400" w:firstLineChars="200"/>
              <w:rPr>
                <w:rFonts w:eastAsia="宋体"/>
                <w:sz w:val="20"/>
              </w:rPr>
            </w:pPr>
          </w:p>
        </w:tc>
        <w:tc>
          <w:tcPr>
            <w:tcW w:w="955" w:type="dxa"/>
          </w:tcPr>
          <w:p>
            <w:pPr>
              <w:rPr>
                <w:rFonts w:eastAsia="宋体"/>
                <w:sz w:val="20"/>
              </w:rPr>
            </w:pPr>
            <w:r>
              <w:rPr>
                <w:rFonts w:hint="eastAsia" w:eastAsia="宋体"/>
                <w:sz w:val="20"/>
              </w:rPr>
              <w:t>QEO4.4</w:t>
            </w:r>
          </w:p>
          <w:p>
            <w:pPr>
              <w:ind w:firstLine="400" w:firstLineChars="200"/>
              <w:rPr>
                <w:rFonts w:eastAsia="宋体"/>
                <w:sz w:val="20"/>
              </w:rPr>
            </w:pPr>
          </w:p>
        </w:tc>
        <w:tc>
          <w:tcPr>
            <w:tcW w:w="11661" w:type="dxa"/>
            <w:vAlign w:val="center"/>
          </w:tcPr>
          <w:p>
            <w:pPr>
              <w:spacing w:line="280" w:lineRule="exact"/>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现场审核发现：</w:t>
            </w:r>
          </w:p>
          <w:p>
            <w:pPr>
              <w:spacing w:line="280" w:lineRule="exact"/>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1.组织设置了管理层、行政部、市场部、采购部、质检部、生产部、财务部等部门，职责和权限分配基本合理。</w:t>
            </w:r>
          </w:p>
          <w:p>
            <w:pPr>
              <w:numPr>
                <w:ilvl w:val="0"/>
                <w:numId w:val="0"/>
              </w:numPr>
              <w:spacing w:line="280" w:lineRule="exact"/>
              <w:ind w:firstLine="420" w:firstLineChars="200"/>
              <w:rPr>
                <w:rFonts w:hint="default"/>
                <w:lang w:val="en-US" w:eastAsia="zh-CN"/>
              </w:rPr>
            </w:pPr>
            <w:r>
              <w:rPr>
                <w:rFonts w:hint="eastAsia" w:ascii="宋体" w:hAnsi="宋体" w:eastAsia="宋体" w:cs="宋体"/>
                <w:sz w:val="21"/>
                <w:szCs w:val="21"/>
                <w:lang w:val="en-US" w:eastAsia="zh-CN"/>
              </w:rPr>
              <w:t>2.组织的</w:t>
            </w:r>
            <w:r>
              <w:rPr>
                <w:rFonts w:hint="eastAsia"/>
                <w:lang w:val="en-US" w:eastAsia="zh-CN"/>
              </w:rPr>
              <w:t>Q涉及的核心过程主要包括</w:t>
            </w:r>
            <w:r>
              <w:rPr>
                <w:rFonts w:hint="eastAsia"/>
                <w:color w:val="000000"/>
                <w:lang w:val="en-US" w:eastAsia="zh-CN"/>
              </w:rPr>
              <w:t>1）食品纸包装：原料→印刷→分切</w:t>
            </w:r>
            <w:r>
              <w:rPr>
                <w:rFonts w:hint="eastAsia"/>
                <w:color w:val="auto"/>
                <w:lang w:val="en-US" w:eastAsia="zh-CN"/>
              </w:rPr>
              <w:t>→制袋→</w:t>
            </w:r>
            <w:r>
              <w:rPr>
                <w:rFonts w:hint="eastAsia"/>
                <w:color w:val="000000"/>
                <w:lang w:val="en-US" w:eastAsia="zh-CN"/>
              </w:rPr>
              <w:t>消毒→包装→外包→检验→入库；2）食品塑料包装：原料薄膜→复合→熟化→分切→制袋→包装→检验→入库；E和O的主要过程包括：①环境因素的识别、评价和控制；②危险源的识别、评价和控制；③应急准备和响应等，组织的过程识别基本完整，输入输出基本充分，程序设计符合控制要求，相互关系清晰，基本符合策划要求。</w:t>
            </w:r>
          </w:p>
          <w:p>
            <w:pPr>
              <w:spacing w:line="280" w:lineRule="exact"/>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3.组织管理体系在运行、保持过程中，通过监视、测量等方式以完成评价和改进需求，满足策划要求。</w:t>
            </w:r>
          </w:p>
          <w:p>
            <w:pPr>
              <w:spacing w:line="280" w:lineRule="exact"/>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4.组织通过QEO6.1的要求应对风险和机遇，具体见QEO6.1记录。</w:t>
            </w:r>
          </w:p>
        </w:tc>
        <w:tc>
          <w:tcPr>
            <w:tcW w:w="851" w:type="dxa"/>
          </w:tcPr>
          <w:p>
            <w:pPr>
              <w:rPr>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242" w:type="dxa"/>
          </w:tcPr>
          <w:p>
            <w:pPr>
              <w:numPr>
                <w:ilvl w:val="0"/>
                <w:numId w:val="0"/>
              </w:numPr>
              <w:spacing w:line="280" w:lineRule="exac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领导作用与承诺总则</w:t>
            </w:r>
          </w:p>
        </w:tc>
        <w:tc>
          <w:tcPr>
            <w:tcW w:w="955" w:type="dxa"/>
          </w:tcPr>
          <w:p>
            <w:pPr>
              <w:numPr>
                <w:ilvl w:val="0"/>
                <w:numId w:val="0"/>
              </w:numPr>
              <w:spacing w:line="280" w:lineRule="exac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Q5.1.1</w:t>
            </w:r>
          </w:p>
          <w:p>
            <w:pPr>
              <w:numPr>
                <w:ilvl w:val="0"/>
                <w:numId w:val="0"/>
              </w:numPr>
              <w:spacing w:line="280" w:lineRule="exact"/>
              <w:rPr>
                <w:rFonts w:hint="eastAsia" w:ascii="宋体" w:hAnsi="宋体" w:eastAsia="宋体" w:cs="宋体"/>
                <w:sz w:val="21"/>
                <w:szCs w:val="21"/>
                <w:lang w:val="en-US" w:eastAsia="zh-CN"/>
              </w:rPr>
            </w:pPr>
          </w:p>
          <w:p>
            <w:pPr>
              <w:numPr>
                <w:ilvl w:val="0"/>
                <w:numId w:val="0"/>
              </w:numPr>
              <w:spacing w:line="280" w:lineRule="exact"/>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EO</w:t>
            </w:r>
          </w:p>
          <w:p>
            <w:pPr>
              <w:numPr>
                <w:ilvl w:val="0"/>
                <w:numId w:val="0"/>
              </w:numPr>
              <w:spacing w:line="280" w:lineRule="exac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5.1</w:t>
            </w:r>
          </w:p>
          <w:p>
            <w:pPr>
              <w:numPr>
                <w:ilvl w:val="0"/>
                <w:numId w:val="0"/>
              </w:numPr>
              <w:spacing w:line="280" w:lineRule="exact"/>
              <w:ind w:firstLine="420" w:firstLineChars="200"/>
              <w:rPr>
                <w:rFonts w:hint="eastAsia" w:ascii="宋体" w:hAnsi="宋体" w:eastAsia="宋体" w:cs="宋体"/>
                <w:sz w:val="21"/>
                <w:szCs w:val="21"/>
                <w:lang w:val="en-US" w:eastAsia="zh-CN"/>
              </w:rPr>
            </w:pPr>
          </w:p>
        </w:tc>
        <w:tc>
          <w:tcPr>
            <w:tcW w:w="11661" w:type="dxa"/>
            <w:vAlign w:val="center"/>
          </w:tcPr>
          <w:p>
            <w:pPr>
              <w:numPr>
                <w:ilvl w:val="0"/>
                <w:numId w:val="0"/>
              </w:numPr>
              <w:spacing w:line="280" w:lineRule="exact"/>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组织管理者代表处了解到，最高管理者通过以下方式证实其领导作用和承诺：</w:t>
            </w:r>
          </w:p>
          <w:p>
            <w:pPr>
              <w:numPr>
                <w:ilvl w:val="0"/>
                <w:numId w:val="0"/>
              </w:numPr>
              <w:spacing w:line="280" w:lineRule="exact"/>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1）对管理体系的有效性负责；</w:t>
            </w:r>
          </w:p>
          <w:p>
            <w:pPr>
              <w:numPr>
                <w:ilvl w:val="0"/>
                <w:numId w:val="0"/>
              </w:numPr>
              <w:spacing w:line="280" w:lineRule="exact"/>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2）建立QEO管理方针和目标，并确保与组织的环境相适应，与战略方向保持一致以； </w:t>
            </w:r>
          </w:p>
          <w:p>
            <w:pPr>
              <w:numPr>
                <w:ilvl w:val="0"/>
                <w:numId w:val="0"/>
              </w:numPr>
              <w:spacing w:line="280" w:lineRule="exact"/>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3）确保管理体系要求融入组织的设计、采购、生产、质检等业务过程；</w:t>
            </w:r>
          </w:p>
          <w:p>
            <w:pPr>
              <w:numPr>
                <w:ilvl w:val="0"/>
                <w:numId w:val="0"/>
              </w:numPr>
              <w:spacing w:line="280" w:lineRule="exact"/>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4）促进使用过程方法和机遇风险的思维；</w:t>
            </w:r>
          </w:p>
          <w:p>
            <w:pPr>
              <w:numPr>
                <w:ilvl w:val="0"/>
                <w:numId w:val="0"/>
              </w:numPr>
              <w:spacing w:line="280" w:lineRule="exact"/>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5）确保管理体系所需资源能被获得；</w:t>
            </w:r>
          </w:p>
          <w:p>
            <w:pPr>
              <w:numPr>
                <w:ilvl w:val="0"/>
                <w:numId w:val="0"/>
              </w:numPr>
              <w:spacing w:line="280" w:lineRule="exact"/>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6）建立良好的沟通机制，杜绝因沟通影响管理体系运行有效性；</w:t>
            </w:r>
          </w:p>
          <w:p>
            <w:pPr>
              <w:numPr>
                <w:ilvl w:val="0"/>
                <w:numId w:val="0"/>
              </w:numPr>
              <w:spacing w:line="280" w:lineRule="exact"/>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7）确保管理体系实现其预期的结果；</w:t>
            </w:r>
          </w:p>
          <w:p>
            <w:pPr>
              <w:numPr>
                <w:ilvl w:val="0"/>
                <w:numId w:val="0"/>
              </w:numPr>
              <w:spacing w:line="280" w:lineRule="exact"/>
              <w:ind w:firstLine="420" w:firstLineChars="200"/>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8）促使员工积极参与，指导和支持他们为公司管理体系的有效性作出贡献；</w:t>
            </w:r>
          </w:p>
          <w:p>
            <w:pPr>
              <w:numPr>
                <w:ilvl w:val="0"/>
                <w:numId w:val="0"/>
              </w:numPr>
              <w:spacing w:line="280" w:lineRule="exact"/>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9）推动改进和创新；</w:t>
            </w:r>
          </w:p>
          <w:p>
            <w:pPr>
              <w:numPr>
                <w:ilvl w:val="0"/>
                <w:numId w:val="0"/>
              </w:numPr>
              <w:spacing w:line="280" w:lineRule="exact"/>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10）做好管理岗位的任命，以支持其他管理者在其负责领域证实其领导作用；</w:t>
            </w:r>
          </w:p>
          <w:p>
            <w:pPr>
              <w:numPr>
                <w:ilvl w:val="0"/>
                <w:numId w:val="0"/>
              </w:numPr>
              <w:spacing w:line="280" w:lineRule="exact"/>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11）保护员工不因揭发组织的违法行为而遭受报复；</w:t>
            </w:r>
          </w:p>
          <w:p>
            <w:pPr>
              <w:numPr>
                <w:ilvl w:val="0"/>
                <w:numId w:val="0"/>
              </w:numPr>
              <w:spacing w:line="280" w:lineRule="exact"/>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12）引导建立企业安全文化；</w:t>
            </w:r>
          </w:p>
          <w:p>
            <w:pPr>
              <w:numPr>
                <w:ilvl w:val="0"/>
                <w:numId w:val="0"/>
              </w:numPr>
              <w:spacing w:line="280" w:lineRule="exact"/>
              <w:ind w:firstLine="420" w:firstLineChars="200"/>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13）促进和落实协商和参与机制的建立与保持，支持员工代表，并在有条件的情况下成立健康安全委员会。</w:t>
            </w:r>
          </w:p>
          <w:p>
            <w:pPr>
              <w:numPr>
                <w:ilvl w:val="0"/>
                <w:numId w:val="0"/>
              </w:numPr>
              <w:spacing w:line="280" w:lineRule="exact"/>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内容基本与标准要求一致，满足要求。</w:t>
            </w:r>
          </w:p>
        </w:tc>
        <w:tc>
          <w:tcPr>
            <w:tcW w:w="851" w:type="dxa"/>
          </w:tcPr>
          <w:p>
            <w:pPr>
              <w:rPr>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6" w:hRule="atLeast"/>
        </w:trPr>
        <w:tc>
          <w:tcPr>
            <w:tcW w:w="1242" w:type="dxa"/>
          </w:tcPr>
          <w:p>
            <w:pPr>
              <w:numPr>
                <w:ilvl w:val="0"/>
                <w:numId w:val="0"/>
              </w:numPr>
              <w:spacing w:line="280" w:lineRule="exac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以顾客为关注焦点</w:t>
            </w:r>
          </w:p>
          <w:p>
            <w:pPr>
              <w:numPr>
                <w:ilvl w:val="0"/>
                <w:numId w:val="0"/>
              </w:numPr>
              <w:spacing w:line="280" w:lineRule="exact"/>
              <w:ind w:firstLine="420" w:firstLineChars="200"/>
              <w:rPr>
                <w:rFonts w:hint="eastAsia" w:ascii="宋体" w:hAnsi="宋体" w:eastAsia="宋体" w:cs="宋体"/>
                <w:sz w:val="21"/>
                <w:szCs w:val="21"/>
                <w:lang w:val="en-US" w:eastAsia="zh-CN"/>
              </w:rPr>
            </w:pPr>
          </w:p>
        </w:tc>
        <w:tc>
          <w:tcPr>
            <w:tcW w:w="955" w:type="dxa"/>
          </w:tcPr>
          <w:p>
            <w:pPr>
              <w:numPr>
                <w:ilvl w:val="0"/>
                <w:numId w:val="0"/>
              </w:numPr>
              <w:spacing w:line="280" w:lineRule="exac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Q5.1.2</w:t>
            </w:r>
          </w:p>
          <w:p>
            <w:pPr>
              <w:numPr>
                <w:ilvl w:val="0"/>
                <w:numId w:val="0"/>
              </w:numPr>
              <w:spacing w:line="280" w:lineRule="exact"/>
              <w:ind w:firstLine="420" w:firstLineChars="200"/>
              <w:rPr>
                <w:rFonts w:hint="eastAsia" w:ascii="宋体" w:hAnsi="宋体" w:eastAsia="宋体" w:cs="宋体"/>
                <w:sz w:val="21"/>
                <w:szCs w:val="21"/>
                <w:lang w:val="en-US" w:eastAsia="zh-CN"/>
              </w:rPr>
            </w:pPr>
          </w:p>
        </w:tc>
        <w:tc>
          <w:tcPr>
            <w:tcW w:w="11661" w:type="dxa"/>
            <w:vAlign w:val="center"/>
          </w:tcPr>
          <w:p>
            <w:pPr>
              <w:numPr>
                <w:ilvl w:val="0"/>
                <w:numId w:val="0"/>
              </w:numPr>
              <w:spacing w:line="280" w:lineRule="exact"/>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管理者代表通过以下方面实现证实其以顾客为关注焦点的领导作用和承诺：</w:t>
            </w:r>
          </w:p>
          <w:p>
            <w:pPr>
              <w:numPr>
                <w:ilvl w:val="0"/>
                <w:numId w:val="0"/>
              </w:numPr>
              <w:spacing w:line="280" w:lineRule="exact"/>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a) 确定、理解并持续满足顾客要求以及适用的法律法规要求；</w:t>
            </w:r>
          </w:p>
          <w:p>
            <w:pPr>
              <w:numPr>
                <w:ilvl w:val="0"/>
                <w:numId w:val="0"/>
              </w:numPr>
              <w:spacing w:line="280" w:lineRule="exact"/>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b) 确定和应对能够影响产品、产品符合性以及增强顾客满意能力的风险和机遇；</w:t>
            </w:r>
          </w:p>
          <w:p>
            <w:pPr>
              <w:numPr>
                <w:ilvl w:val="0"/>
                <w:numId w:val="0"/>
              </w:numPr>
              <w:spacing w:line="280" w:lineRule="exact"/>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c) 始终致力于增强顾客满意。</w:t>
            </w:r>
          </w:p>
          <w:p>
            <w:pPr>
              <w:numPr>
                <w:ilvl w:val="0"/>
                <w:numId w:val="0"/>
              </w:numPr>
              <w:spacing w:line="280" w:lineRule="exact"/>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顾客满意的监视和评审记录详见审核Q9.1.2条款。</w:t>
            </w:r>
          </w:p>
        </w:tc>
        <w:tc>
          <w:tcPr>
            <w:tcW w:w="851" w:type="dxa"/>
          </w:tcPr>
          <w:p>
            <w:pPr>
              <w:rPr>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242" w:type="dxa"/>
          </w:tcPr>
          <w:p>
            <w:pPr>
              <w:numPr>
                <w:ilvl w:val="0"/>
                <w:numId w:val="0"/>
              </w:numPr>
              <w:spacing w:line="280" w:lineRule="exac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方针</w:t>
            </w:r>
          </w:p>
          <w:p>
            <w:pPr>
              <w:numPr>
                <w:ilvl w:val="0"/>
                <w:numId w:val="0"/>
              </w:numPr>
              <w:spacing w:line="280" w:lineRule="exact"/>
              <w:rPr>
                <w:rFonts w:hint="eastAsia" w:ascii="宋体" w:hAnsi="宋体" w:eastAsia="宋体" w:cs="宋体"/>
                <w:sz w:val="21"/>
                <w:szCs w:val="21"/>
                <w:lang w:val="en-US" w:eastAsia="zh-CN"/>
              </w:rPr>
            </w:pPr>
          </w:p>
        </w:tc>
        <w:tc>
          <w:tcPr>
            <w:tcW w:w="955" w:type="dxa"/>
          </w:tcPr>
          <w:p>
            <w:pPr>
              <w:numPr>
                <w:ilvl w:val="0"/>
                <w:numId w:val="0"/>
              </w:numPr>
              <w:spacing w:line="280" w:lineRule="exac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QEO5.2</w:t>
            </w:r>
          </w:p>
          <w:p>
            <w:pPr>
              <w:numPr>
                <w:ilvl w:val="0"/>
                <w:numId w:val="0"/>
              </w:numPr>
              <w:spacing w:line="280" w:lineRule="exact"/>
              <w:ind w:firstLine="420" w:firstLineChars="200"/>
              <w:rPr>
                <w:rFonts w:hint="eastAsia" w:ascii="宋体" w:hAnsi="宋体" w:eastAsia="宋体" w:cs="宋体"/>
                <w:sz w:val="21"/>
                <w:szCs w:val="21"/>
                <w:lang w:val="en-US" w:eastAsia="zh-CN"/>
              </w:rPr>
            </w:pPr>
          </w:p>
          <w:p>
            <w:pPr>
              <w:numPr>
                <w:ilvl w:val="0"/>
                <w:numId w:val="0"/>
              </w:numPr>
              <w:spacing w:line="280" w:lineRule="exact"/>
              <w:ind w:firstLine="420" w:firstLineChars="200"/>
              <w:rPr>
                <w:rFonts w:hint="eastAsia" w:ascii="宋体" w:hAnsi="宋体" w:eastAsia="宋体" w:cs="宋体"/>
                <w:sz w:val="21"/>
                <w:szCs w:val="21"/>
                <w:lang w:val="en-US" w:eastAsia="zh-CN"/>
              </w:rPr>
            </w:pPr>
          </w:p>
          <w:p>
            <w:pPr>
              <w:numPr>
                <w:ilvl w:val="0"/>
                <w:numId w:val="0"/>
              </w:numPr>
              <w:spacing w:line="280" w:lineRule="exact"/>
              <w:ind w:firstLine="420" w:firstLineChars="200"/>
              <w:rPr>
                <w:rFonts w:hint="eastAsia" w:ascii="宋体" w:hAnsi="宋体" w:eastAsia="宋体" w:cs="宋体"/>
                <w:sz w:val="21"/>
                <w:szCs w:val="21"/>
                <w:lang w:val="en-US" w:eastAsia="zh-CN"/>
              </w:rPr>
            </w:pPr>
          </w:p>
        </w:tc>
        <w:tc>
          <w:tcPr>
            <w:tcW w:w="11661" w:type="dxa"/>
            <w:vAlign w:val="center"/>
          </w:tcPr>
          <w:p>
            <w:pPr>
              <w:numPr>
                <w:ilvl w:val="0"/>
                <w:numId w:val="0"/>
              </w:numPr>
              <w:spacing w:line="280" w:lineRule="exact"/>
              <w:ind w:firstLine="420" w:firstLineChars="200"/>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组织的QEO方针内容如下：</w:t>
            </w:r>
          </w:p>
          <w:p>
            <w:pPr>
              <w:numPr>
                <w:ilvl w:val="0"/>
                <w:numId w:val="0"/>
              </w:numPr>
              <w:spacing w:line="280" w:lineRule="exact"/>
              <w:ind w:firstLine="420" w:firstLineChars="200"/>
              <w:rPr>
                <w:rFonts w:hint="eastAsia" w:ascii="宋体" w:hAnsi="宋体" w:eastAsia="宋体" w:cs="宋体"/>
                <w:sz w:val="21"/>
                <w:szCs w:val="21"/>
                <w:lang w:val="en-US" w:eastAsia="zh-CN"/>
              </w:rPr>
            </w:pPr>
            <w:bookmarkStart w:id="2" w:name="OLE_LINK11"/>
            <w:r>
              <w:rPr>
                <w:rFonts w:hint="eastAsia" w:ascii="宋体" w:hAnsi="宋体" w:eastAsia="宋体" w:cs="宋体"/>
                <w:sz w:val="21"/>
                <w:szCs w:val="21"/>
                <w:lang w:val="en-US" w:eastAsia="zh-CN"/>
              </w:rPr>
              <w:t>科学管理，提高顾客满意；</w:t>
            </w:r>
          </w:p>
          <w:p>
            <w:pPr>
              <w:numPr>
                <w:ilvl w:val="0"/>
                <w:numId w:val="0"/>
              </w:numPr>
              <w:spacing w:line="280" w:lineRule="exact"/>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规范操作，减少环境污染</w:t>
            </w:r>
          </w:p>
          <w:p>
            <w:pPr>
              <w:numPr>
                <w:ilvl w:val="0"/>
                <w:numId w:val="0"/>
              </w:numPr>
              <w:spacing w:line="280" w:lineRule="exact"/>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关爱生命，预防安全事故   </w:t>
            </w:r>
          </w:p>
          <w:p>
            <w:pPr>
              <w:numPr>
                <w:ilvl w:val="0"/>
                <w:numId w:val="0"/>
              </w:numPr>
              <w:spacing w:line="280" w:lineRule="exact"/>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遵纪守法，追求不断改进</w:t>
            </w:r>
          </w:p>
          <w:bookmarkEnd w:id="2"/>
          <w:p>
            <w:pPr>
              <w:numPr>
                <w:ilvl w:val="0"/>
                <w:numId w:val="0"/>
              </w:numPr>
              <w:spacing w:line="280" w:lineRule="exact"/>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组织以质量、环境、职业健康安全标准为基础，结合实际特制定管理方针，与组织的经营宗旨基本一致，能为制定目标提供框架，基本符合标准的要求。</w:t>
            </w:r>
          </w:p>
          <w:p>
            <w:pPr>
              <w:numPr>
                <w:ilvl w:val="0"/>
                <w:numId w:val="0"/>
              </w:numPr>
              <w:spacing w:line="280" w:lineRule="exact"/>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管理者代表对方针内涵的理解较深刻，并通过会议、文件等手段保证管理方针为全体员工理解并落实到工作中，相关方也可通过组织获取相应的管理方针。</w:t>
            </w:r>
          </w:p>
        </w:tc>
        <w:tc>
          <w:tcPr>
            <w:tcW w:w="851" w:type="dxa"/>
          </w:tcPr>
          <w:p>
            <w:pPr>
              <w:rPr>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242" w:type="dxa"/>
          </w:tcPr>
          <w:p>
            <w:pPr>
              <w:numPr>
                <w:ilvl w:val="0"/>
                <w:numId w:val="0"/>
              </w:numPr>
              <w:spacing w:line="280" w:lineRule="exac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组织的岗位、职责和权限</w:t>
            </w:r>
          </w:p>
          <w:p>
            <w:pPr>
              <w:numPr>
                <w:ilvl w:val="0"/>
                <w:numId w:val="0"/>
              </w:numPr>
              <w:spacing w:line="280" w:lineRule="exact"/>
              <w:ind w:firstLine="420" w:firstLineChars="200"/>
              <w:rPr>
                <w:rFonts w:hint="eastAsia" w:ascii="宋体" w:hAnsi="宋体" w:eastAsia="宋体" w:cs="宋体"/>
                <w:sz w:val="21"/>
                <w:szCs w:val="21"/>
                <w:lang w:val="en-US" w:eastAsia="zh-CN"/>
              </w:rPr>
            </w:pPr>
          </w:p>
        </w:tc>
        <w:tc>
          <w:tcPr>
            <w:tcW w:w="955" w:type="dxa"/>
          </w:tcPr>
          <w:p>
            <w:pPr>
              <w:numPr>
                <w:ilvl w:val="0"/>
                <w:numId w:val="0"/>
              </w:numPr>
              <w:spacing w:line="280" w:lineRule="exac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QEO5.3</w:t>
            </w:r>
          </w:p>
          <w:p>
            <w:pPr>
              <w:numPr>
                <w:ilvl w:val="0"/>
                <w:numId w:val="0"/>
              </w:numPr>
              <w:spacing w:line="280" w:lineRule="exact"/>
              <w:ind w:firstLine="420" w:firstLineChars="200"/>
              <w:rPr>
                <w:rFonts w:hint="eastAsia" w:ascii="宋体" w:hAnsi="宋体" w:eastAsia="宋体" w:cs="宋体"/>
                <w:sz w:val="21"/>
                <w:szCs w:val="21"/>
                <w:lang w:val="en-US" w:eastAsia="zh-CN"/>
              </w:rPr>
            </w:pPr>
          </w:p>
        </w:tc>
        <w:tc>
          <w:tcPr>
            <w:tcW w:w="11661" w:type="dxa"/>
            <w:vAlign w:val="center"/>
          </w:tcPr>
          <w:p>
            <w:pPr>
              <w:numPr>
                <w:ilvl w:val="0"/>
                <w:numId w:val="0"/>
              </w:numPr>
              <w:spacing w:line="280" w:lineRule="exact"/>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组织确定了各部门、岗位人员职责、权限和相互关系，并对各级员工进行了必要的传达。组织任命彭秋香为管理体系的管理者代表。抽查其职责和权限规定如下：</w:t>
            </w:r>
          </w:p>
          <w:p>
            <w:pPr>
              <w:numPr>
                <w:ilvl w:val="0"/>
                <w:numId w:val="0"/>
              </w:numPr>
              <w:spacing w:line="280" w:lineRule="exact"/>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1.确保质量环境职业健康安全管理体系的过程得到建立、实施和保持；</w:t>
            </w:r>
          </w:p>
          <w:p>
            <w:pPr>
              <w:numPr>
                <w:ilvl w:val="0"/>
                <w:numId w:val="0"/>
              </w:numPr>
              <w:spacing w:line="280" w:lineRule="exact"/>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2.向最高管理者报告质量环境职业健康安全管理体系的业绩和任何改进的需求；</w:t>
            </w:r>
          </w:p>
          <w:p>
            <w:pPr>
              <w:numPr>
                <w:ilvl w:val="0"/>
                <w:numId w:val="0"/>
              </w:numPr>
              <w:spacing w:line="280" w:lineRule="exact"/>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3.在整个组织内贯彻环境保护及职业健康安全意识，促进顾客要求意识的形成；</w:t>
            </w:r>
          </w:p>
          <w:p>
            <w:pPr>
              <w:numPr>
                <w:ilvl w:val="0"/>
                <w:numId w:val="0"/>
              </w:numPr>
              <w:spacing w:line="280" w:lineRule="exact"/>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4.就质量环境职业健康安全管理体系有关事宜对外联络，负责与认证机构联络与协调方面的事项。</w:t>
            </w:r>
          </w:p>
          <w:p>
            <w:pPr>
              <w:numPr>
                <w:ilvl w:val="0"/>
                <w:numId w:val="0"/>
              </w:numPr>
              <w:spacing w:line="280" w:lineRule="exact"/>
              <w:ind w:firstLine="420" w:firstLineChars="200"/>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其职能和权限设置基本能够满足要求。</w:t>
            </w:r>
          </w:p>
        </w:tc>
        <w:tc>
          <w:tcPr>
            <w:tcW w:w="851" w:type="dxa"/>
          </w:tcPr>
          <w:p>
            <w:pPr>
              <w:rPr>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0" w:hRule="atLeast"/>
        </w:trPr>
        <w:tc>
          <w:tcPr>
            <w:tcW w:w="1242" w:type="dxa"/>
          </w:tcPr>
          <w:p>
            <w:pPr>
              <w:numPr>
                <w:ilvl w:val="0"/>
                <w:numId w:val="0"/>
              </w:numPr>
              <w:spacing w:line="280" w:lineRule="exact"/>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应对风险和机遇的措施策划</w:t>
            </w:r>
          </w:p>
          <w:p>
            <w:pPr>
              <w:numPr>
                <w:ilvl w:val="0"/>
                <w:numId w:val="0"/>
              </w:numPr>
              <w:spacing w:line="280" w:lineRule="exact"/>
              <w:ind w:firstLine="420" w:firstLineChars="200"/>
              <w:rPr>
                <w:rFonts w:hint="eastAsia" w:ascii="宋体" w:hAnsi="宋体" w:eastAsia="宋体" w:cs="宋体"/>
                <w:sz w:val="21"/>
                <w:szCs w:val="21"/>
                <w:lang w:val="en-US" w:eastAsia="zh-CN"/>
              </w:rPr>
            </w:pPr>
          </w:p>
        </w:tc>
        <w:tc>
          <w:tcPr>
            <w:tcW w:w="955" w:type="dxa"/>
          </w:tcPr>
          <w:p>
            <w:pPr>
              <w:numPr>
                <w:ilvl w:val="0"/>
                <w:numId w:val="0"/>
              </w:numPr>
              <w:spacing w:line="280" w:lineRule="exac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Q6.1</w:t>
            </w:r>
          </w:p>
          <w:p>
            <w:pPr>
              <w:numPr>
                <w:ilvl w:val="0"/>
                <w:numId w:val="0"/>
              </w:numPr>
              <w:spacing w:line="280" w:lineRule="exac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E06.1.1</w:t>
            </w:r>
          </w:p>
          <w:p>
            <w:pPr>
              <w:numPr>
                <w:ilvl w:val="0"/>
                <w:numId w:val="0"/>
              </w:numPr>
              <w:spacing w:line="280" w:lineRule="exac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EO6.1.4</w:t>
            </w:r>
          </w:p>
          <w:p>
            <w:pPr>
              <w:numPr>
                <w:ilvl w:val="0"/>
                <w:numId w:val="0"/>
              </w:numPr>
              <w:spacing w:line="280" w:lineRule="exact"/>
              <w:ind w:firstLine="420" w:firstLineChars="200"/>
              <w:rPr>
                <w:rFonts w:hint="eastAsia" w:ascii="宋体" w:hAnsi="宋体" w:eastAsia="宋体" w:cs="宋体"/>
                <w:sz w:val="21"/>
                <w:szCs w:val="21"/>
                <w:lang w:val="en-US" w:eastAsia="zh-CN"/>
              </w:rPr>
            </w:pPr>
          </w:p>
        </w:tc>
        <w:tc>
          <w:tcPr>
            <w:tcW w:w="11661" w:type="dxa"/>
            <w:vAlign w:val="center"/>
          </w:tcPr>
          <w:p>
            <w:pPr>
              <w:numPr>
                <w:ilvl w:val="0"/>
                <w:numId w:val="0"/>
              </w:numPr>
              <w:spacing w:line="280" w:lineRule="exact"/>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组织在策划管理体系时考虑了风险和机遇以及相应的应对措施，制定了 LJ -P-22-2021《风险和机遇的应对控制程序》，明确了风险和机遇事件的识别方法/途径、评估方式、制定主要风险和机遇事件的应对措施的要求、评价这些措施有效性的方法。</w:t>
            </w:r>
          </w:p>
          <w:p>
            <w:pPr>
              <w:numPr>
                <w:ilvl w:val="0"/>
                <w:numId w:val="0"/>
              </w:numPr>
              <w:spacing w:line="280" w:lineRule="exact"/>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组织根据程序文件要求，将需要应对的风险和机遇进行风险分析确定风险级别（一般风险、重大风险），在管理体系所确定的过程（如采购、生产、质检等）中，整合制定针对性管理措施（如程序控制等）并作了有效性评价。</w:t>
            </w:r>
          </w:p>
          <w:p>
            <w:pPr>
              <w:numPr>
                <w:ilvl w:val="0"/>
                <w:numId w:val="0"/>
              </w:numPr>
              <w:spacing w:line="280" w:lineRule="exact"/>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提供了《企业风险和机遇应对策划表》，内容包括部门、业务范畴、风险事项、风险等级评估、应对措施及有效性评价等，组织根据业务活动过程，从各部门角度识别和评估了质量、环境和职业健康安全风险和机遇，基本满足要求。</w:t>
            </w:r>
          </w:p>
        </w:tc>
        <w:tc>
          <w:tcPr>
            <w:tcW w:w="851" w:type="dxa"/>
          </w:tcPr>
          <w:p>
            <w:pPr>
              <w:rPr>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242" w:type="dxa"/>
            <w:vAlign w:val="center"/>
          </w:tcPr>
          <w:p>
            <w:pPr>
              <w:numPr>
                <w:ilvl w:val="0"/>
                <w:numId w:val="0"/>
              </w:numPr>
              <w:spacing w:line="280" w:lineRule="exact"/>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目标及其实现的策划</w:t>
            </w:r>
          </w:p>
        </w:tc>
        <w:tc>
          <w:tcPr>
            <w:tcW w:w="955" w:type="dxa"/>
            <w:vAlign w:val="center"/>
          </w:tcPr>
          <w:p>
            <w:pPr>
              <w:numPr>
                <w:ilvl w:val="0"/>
                <w:numId w:val="0"/>
              </w:numPr>
              <w:spacing w:line="280" w:lineRule="exac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QEO：6.2</w:t>
            </w:r>
          </w:p>
          <w:p>
            <w:pPr>
              <w:numPr>
                <w:ilvl w:val="0"/>
                <w:numId w:val="0"/>
              </w:numPr>
              <w:spacing w:line="280" w:lineRule="exact"/>
              <w:ind w:firstLine="420" w:firstLineChars="200"/>
              <w:rPr>
                <w:rFonts w:hint="eastAsia" w:ascii="宋体" w:hAnsi="宋体" w:eastAsia="宋体" w:cs="宋体"/>
                <w:sz w:val="21"/>
                <w:szCs w:val="21"/>
                <w:lang w:val="en-US" w:eastAsia="zh-CN"/>
              </w:rPr>
            </w:pPr>
          </w:p>
        </w:tc>
        <w:tc>
          <w:tcPr>
            <w:tcW w:w="11661" w:type="dxa"/>
            <w:vAlign w:val="center"/>
          </w:tcPr>
          <w:p>
            <w:pPr>
              <w:numPr>
                <w:ilvl w:val="0"/>
                <w:numId w:val="0"/>
              </w:numPr>
              <w:spacing w:line="280" w:lineRule="exact"/>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组织根据实际制定了质量、环境、职业健康安全目标，在相关职能、层次和过程上建立目标考虑了适用的要求，均可测量，与方针基本一致，并以公告、会议形式传达、培训和内部沟通等形式进行了传达。其中质量目标与产品和服务的符合性以及增强顾客满意有关。</w:t>
            </w:r>
          </w:p>
          <w:p>
            <w:pPr>
              <w:numPr>
                <w:ilvl w:val="0"/>
                <w:numId w:val="0"/>
              </w:numPr>
              <w:spacing w:line="280" w:lineRule="exact"/>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组织的的质量、环境和职业健康安全目标如下：</w:t>
            </w:r>
          </w:p>
          <w:p>
            <w:pPr>
              <w:numPr>
                <w:ilvl w:val="0"/>
                <w:numId w:val="0"/>
              </w:numPr>
              <w:spacing w:line="280" w:lineRule="exact"/>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质量目标：1.成品一次性交验合格率≥95%；2.顾客满意率≥95%；3.合同履约率100%。</w:t>
            </w:r>
          </w:p>
          <w:p>
            <w:pPr>
              <w:numPr>
                <w:ilvl w:val="0"/>
                <w:numId w:val="0"/>
              </w:numPr>
              <w:spacing w:line="280" w:lineRule="exact"/>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环境目标：遵守法律法规，坚持以节约、高效、环保为核心的商业模式，满足环境规定要求，确保社会和相关方满意；环境指标：1.废水、废气、噪声达标排放；2.固废按规定分类处置率100%；3.火灾发生率为0。</w:t>
            </w:r>
          </w:p>
          <w:p>
            <w:pPr>
              <w:numPr>
                <w:ilvl w:val="0"/>
                <w:numId w:val="0"/>
              </w:numPr>
              <w:spacing w:line="280" w:lineRule="exact"/>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职业健康安全目标：杜绝重大安全事故、确保员工职业健康安全；职业健康安全指标：1.重大安全事故发生率为0；2.火灾发生率为0；3.职业病发生率为0。</w:t>
            </w:r>
          </w:p>
          <w:p>
            <w:pPr>
              <w:numPr>
                <w:ilvl w:val="0"/>
                <w:numId w:val="0"/>
              </w:numPr>
              <w:spacing w:line="280" w:lineRule="exact"/>
              <w:ind w:firstLine="420" w:firstLineChars="200"/>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组织对质量、环境、职业健康安全目标、指标在相关职能层次上予以分解，基本能够满足要求，具体见各部门6.2目标监视记录。</w:t>
            </w:r>
          </w:p>
          <w:p>
            <w:pPr>
              <w:numPr>
                <w:ilvl w:val="0"/>
                <w:numId w:val="0"/>
              </w:numPr>
              <w:spacing w:line="280" w:lineRule="exact"/>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查见《质量目标及实施一览表》、《职业健康安全目标、指标及管理方案》、《环境目标、指标及管理方案》、《2021年度QEO目标分解及考核结果》，均有相应的监视和评审记录，符合控制要求。</w:t>
            </w:r>
          </w:p>
        </w:tc>
        <w:tc>
          <w:tcPr>
            <w:tcW w:w="851" w:type="dxa"/>
          </w:tcPr>
          <w:p>
            <w:pPr>
              <w:rPr>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trPr>
        <w:tc>
          <w:tcPr>
            <w:tcW w:w="1242" w:type="dxa"/>
          </w:tcPr>
          <w:p>
            <w:pPr>
              <w:spacing w:line="280" w:lineRule="exact"/>
              <w:jc w:val="left"/>
              <w:rPr>
                <w:rFonts w:hint="eastAsia" w:ascii="宋体" w:hAnsi="宋体" w:eastAsia="宋体" w:cs="宋体"/>
                <w:sz w:val="21"/>
                <w:szCs w:val="21"/>
              </w:rPr>
            </w:pPr>
            <w:r>
              <w:rPr>
                <w:rFonts w:hint="eastAsia" w:ascii="宋体" w:hAnsi="宋体" w:eastAsia="宋体" w:cs="宋体"/>
                <w:sz w:val="21"/>
                <w:szCs w:val="21"/>
              </w:rPr>
              <w:t>变更的策划</w:t>
            </w:r>
          </w:p>
          <w:p>
            <w:pPr>
              <w:spacing w:line="280" w:lineRule="exact"/>
              <w:rPr>
                <w:rFonts w:hint="eastAsia" w:ascii="宋体" w:hAnsi="宋体" w:eastAsia="宋体" w:cs="宋体"/>
                <w:sz w:val="21"/>
                <w:szCs w:val="21"/>
              </w:rPr>
            </w:pPr>
          </w:p>
        </w:tc>
        <w:tc>
          <w:tcPr>
            <w:tcW w:w="955" w:type="dxa"/>
          </w:tcPr>
          <w:p>
            <w:pPr>
              <w:spacing w:line="280" w:lineRule="exact"/>
              <w:rPr>
                <w:rFonts w:hint="eastAsia" w:ascii="宋体" w:hAnsi="宋体" w:eastAsia="宋体" w:cs="宋体"/>
                <w:sz w:val="21"/>
                <w:szCs w:val="21"/>
              </w:rPr>
            </w:pPr>
            <w:r>
              <w:rPr>
                <w:rFonts w:hint="eastAsia" w:ascii="宋体" w:hAnsi="宋体" w:eastAsia="宋体" w:cs="宋体"/>
                <w:sz w:val="21"/>
                <w:szCs w:val="21"/>
              </w:rPr>
              <w:t>Q6.3</w:t>
            </w:r>
          </w:p>
          <w:p>
            <w:pPr>
              <w:spacing w:line="280" w:lineRule="exact"/>
              <w:rPr>
                <w:rFonts w:hint="eastAsia" w:ascii="宋体" w:hAnsi="宋体" w:eastAsia="宋体" w:cs="宋体"/>
                <w:sz w:val="21"/>
                <w:szCs w:val="21"/>
              </w:rPr>
            </w:pPr>
          </w:p>
        </w:tc>
        <w:tc>
          <w:tcPr>
            <w:tcW w:w="11661" w:type="dxa"/>
            <w:vAlign w:val="center"/>
          </w:tcPr>
          <w:p>
            <w:pPr>
              <w:numPr>
                <w:ilvl w:val="0"/>
                <w:numId w:val="0"/>
              </w:numPr>
              <w:spacing w:line="280" w:lineRule="exact"/>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经审核了解到，组织确定了需要对管理体系进行变更时应考虑以下内容：a）变更目的及其潜在后果；b）管理体系的完整性；c）资源的可获得性；d）责任和权限的分配与再分配。</w:t>
            </w:r>
          </w:p>
          <w:p>
            <w:pPr>
              <w:numPr>
                <w:ilvl w:val="0"/>
                <w:numId w:val="0"/>
              </w:numPr>
              <w:spacing w:line="280" w:lineRule="exact"/>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组织2021年7月1日QEO体系建立、实施、保持以来，暂无对管理体系的变更。</w:t>
            </w:r>
          </w:p>
        </w:tc>
        <w:tc>
          <w:tcPr>
            <w:tcW w:w="851" w:type="dxa"/>
          </w:tcPr>
          <w:p>
            <w:pPr>
              <w:rPr>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242" w:type="dxa"/>
          </w:tcPr>
          <w:p>
            <w:pPr>
              <w:numPr>
                <w:ilvl w:val="0"/>
                <w:numId w:val="0"/>
              </w:numPr>
              <w:spacing w:line="280" w:lineRule="exac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资源总则</w:t>
            </w:r>
          </w:p>
          <w:p>
            <w:pPr>
              <w:numPr>
                <w:ilvl w:val="0"/>
                <w:numId w:val="0"/>
              </w:numPr>
              <w:spacing w:line="280" w:lineRule="exact"/>
              <w:ind w:firstLine="420" w:firstLineChars="200"/>
              <w:rPr>
                <w:rFonts w:hint="eastAsia" w:ascii="宋体" w:hAnsi="宋体" w:eastAsia="宋体" w:cs="宋体"/>
                <w:sz w:val="21"/>
                <w:szCs w:val="21"/>
                <w:lang w:val="en-US" w:eastAsia="zh-CN"/>
              </w:rPr>
            </w:pPr>
          </w:p>
        </w:tc>
        <w:tc>
          <w:tcPr>
            <w:tcW w:w="955" w:type="dxa"/>
          </w:tcPr>
          <w:p>
            <w:pPr>
              <w:numPr>
                <w:ilvl w:val="0"/>
                <w:numId w:val="0"/>
              </w:numPr>
              <w:spacing w:line="280" w:lineRule="exac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Q7.1.1</w:t>
            </w:r>
          </w:p>
          <w:p>
            <w:pPr>
              <w:numPr>
                <w:ilvl w:val="0"/>
                <w:numId w:val="0"/>
              </w:numPr>
              <w:spacing w:line="280" w:lineRule="exac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EO7.1</w:t>
            </w:r>
          </w:p>
        </w:tc>
        <w:tc>
          <w:tcPr>
            <w:tcW w:w="11661" w:type="dxa"/>
            <w:vAlign w:val="center"/>
          </w:tcPr>
          <w:p>
            <w:pPr>
              <w:numPr>
                <w:ilvl w:val="0"/>
                <w:numId w:val="0"/>
              </w:numPr>
              <w:spacing w:line="280" w:lineRule="exact"/>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现场审核发现，组织配备了必要的人力资源、基础设施（如办公设施、生产设备、车间、仓库、实验室等），提供了基本的工作和生产环境、监视测量资源和必要的知识等，基本能够满足管理体系保持和改进的需求。</w:t>
            </w:r>
          </w:p>
        </w:tc>
        <w:tc>
          <w:tcPr>
            <w:tcW w:w="851" w:type="dxa"/>
          </w:tcPr>
          <w:p>
            <w:pPr>
              <w:rPr>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0" w:hRule="atLeast"/>
        </w:trPr>
        <w:tc>
          <w:tcPr>
            <w:tcW w:w="1242" w:type="dxa"/>
          </w:tcPr>
          <w:p>
            <w:pPr>
              <w:numPr>
                <w:ilvl w:val="0"/>
                <w:numId w:val="0"/>
              </w:numPr>
              <w:spacing w:line="280" w:lineRule="exac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沟通</w:t>
            </w:r>
          </w:p>
          <w:p>
            <w:pPr>
              <w:numPr>
                <w:ilvl w:val="0"/>
                <w:numId w:val="0"/>
              </w:numPr>
              <w:spacing w:line="280" w:lineRule="exact"/>
              <w:ind w:firstLine="420" w:firstLineChars="200"/>
              <w:rPr>
                <w:rFonts w:hint="eastAsia" w:ascii="宋体" w:hAnsi="宋体" w:eastAsia="宋体" w:cs="宋体"/>
                <w:sz w:val="21"/>
                <w:szCs w:val="21"/>
                <w:lang w:val="en-US" w:eastAsia="zh-CN"/>
              </w:rPr>
            </w:pPr>
          </w:p>
        </w:tc>
        <w:tc>
          <w:tcPr>
            <w:tcW w:w="955" w:type="dxa"/>
          </w:tcPr>
          <w:p>
            <w:pPr>
              <w:numPr>
                <w:ilvl w:val="0"/>
                <w:numId w:val="0"/>
              </w:numPr>
              <w:spacing w:line="280" w:lineRule="exac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QEO7.4</w:t>
            </w:r>
          </w:p>
          <w:p>
            <w:pPr>
              <w:numPr>
                <w:ilvl w:val="0"/>
                <w:numId w:val="0"/>
              </w:numPr>
              <w:spacing w:line="280" w:lineRule="exact"/>
              <w:ind w:firstLine="420" w:firstLineChars="200"/>
              <w:rPr>
                <w:rFonts w:hint="eastAsia" w:ascii="宋体" w:hAnsi="宋体" w:eastAsia="宋体" w:cs="宋体"/>
                <w:sz w:val="21"/>
                <w:szCs w:val="21"/>
                <w:lang w:val="en-US" w:eastAsia="zh-CN"/>
              </w:rPr>
            </w:pPr>
          </w:p>
        </w:tc>
        <w:tc>
          <w:tcPr>
            <w:tcW w:w="11661" w:type="dxa"/>
            <w:vAlign w:val="center"/>
          </w:tcPr>
          <w:p>
            <w:pPr>
              <w:numPr>
                <w:ilvl w:val="0"/>
                <w:numId w:val="0"/>
              </w:numPr>
              <w:spacing w:line="280" w:lineRule="exact"/>
              <w:ind w:firstLine="420" w:firstLineChars="200"/>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组织编制了LJ -P-06-2021《信息交流管理程序》，规定了职责、流程，覆盖了质量、环境、职业健康安全管理体系相关的内部沟通和外部沟通的方法和要求，包括：沟通什么；何时沟通；与谁沟通；如何沟通；由谁负责内容。</w:t>
            </w:r>
          </w:p>
          <w:p>
            <w:pPr>
              <w:numPr>
                <w:ilvl w:val="0"/>
                <w:numId w:val="0"/>
              </w:numPr>
              <w:spacing w:line="280" w:lineRule="exact"/>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组织内外部沟通具体体现在内部工作会议、质量、环境、职业健康安全例会、员工的培训、宣传栏等，与外部的沟通具体体现在与环保、安监部门及顾客和供方的合同签订、满意度调查、合规性问题处理等方面。</w:t>
            </w:r>
          </w:p>
          <w:p>
            <w:pPr>
              <w:numPr>
                <w:ilvl w:val="0"/>
                <w:numId w:val="0"/>
              </w:numPr>
              <w:spacing w:line="280" w:lineRule="exact"/>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现场查阅：内部交流记录如方针、目标完成情况、内审和管理评审报告、不符合信息等；外部交流如通过发放销采购销售合同等与相关方就产品质量等相关要求进行沟通。</w:t>
            </w:r>
          </w:p>
        </w:tc>
        <w:tc>
          <w:tcPr>
            <w:tcW w:w="851" w:type="dxa"/>
          </w:tcPr>
          <w:p>
            <w:pPr>
              <w:rPr>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42" w:type="dxa"/>
          </w:tcPr>
          <w:p>
            <w:pPr>
              <w:numPr>
                <w:ilvl w:val="0"/>
                <w:numId w:val="0"/>
              </w:numPr>
              <w:spacing w:line="280" w:lineRule="exac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管理评审</w:t>
            </w:r>
          </w:p>
          <w:p>
            <w:pPr>
              <w:numPr>
                <w:ilvl w:val="0"/>
                <w:numId w:val="0"/>
              </w:numPr>
              <w:spacing w:line="280" w:lineRule="exact"/>
              <w:ind w:firstLine="420" w:firstLineChars="200"/>
              <w:rPr>
                <w:rFonts w:hint="eastAsia" w:ascii="宋体" w:hAnsi="宋体" w:eastAsia="宋体" w:cs="宋体"/>
                <w:sz w:val="21"/>
                <w:szCs w:val="21"/>
                <w:lang w:val="en-US" w:eastAsia="zh-CN"/>
              </w:rPr>
            </w:pPr>
          </w:p>
        </w:tc>
        <w:tc>
          <w:tcPr>
            <w:tcW w:w="955" w:type="dxa"/>
          </w:tcPr>
          <w:p>
            <w:pPr>
              <w:numPr>
                <w:ilvl w:val="0"/>
                <w:numId w:val="0"/>
              </w:numPr>
              <w:spacing w:line="280" w:lineRule="exac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QEO9.3</w:t>
            </w:r>
          </w:p>
          <w:p>
            <w:pPr>
              <w:numPr>
                <w:ilvl w:val="0"/>
                <w:numId w:val="0"/>
              </w:numPr>
              <w:spacing w:line="280" w:lineRule="exact"/>
              <w:ind w:firstLine="420" w:firstLineChars="200"/>
              <w:rPr>
                <w:rFonts w:hint="eastAsia" w:ascii="宋体" w:hAnsi="宋体" w:eastAsia="宋体" w:cs="宋体"/>
                <w:sz w:val="21"/>
                <w:szCs w:val="21"/>
                <w:lang w:val="en-US" w:eastAsia="zh-CN"/>
              </w:rPr>
            </w:pPr>
          </w:p>
          <w:p>
            <w:pPr>
              <w:numPr>
                <w:ilvl w:val="0"/>
                <w:numId w:val="0"/>
              </w:numPr>
              <w:spacing w:line="280" w:lineRule="exact"/>
              <w:ind w:firstLine="420" w:firstLineChars="200"/>
              <w:rPr>
                <w:rFonts w:hint="eastAsia" w:ascii="宋体" w:hAnsi="宋体" w:eastAsia="宋体" w:cs="宋体"/>
                <w:sz w:val="21"/>
                <w:szCs w:val="21"/>
                <w:lang w:val="en-US" w:eastAsia="zh-CN"/>
              </w:rPr>
            </w:pPr>
          </w:p>
          <w:p>
            <w:pPr>
              <w:numPr>
                <w:ilvl w:val="0"/>
                <w:numId w:val="0"/>
              </w:numPr>
              <w:spacing w:line="280" w:lineRule="exact"/>
              <w:ind w:firstLine="420" w:firstLineChars="200"/>
              <w:rPr>
                <w:rFonts w:hint="eastAsia" w:ascii="宋体" w:hAnsi="宋体" w:eastAsia="宋体" w:cs="宋体"/>
                <w:sz w:val="21"/>
                <w:szCs w:val="21"/>
                <w:lang w:val="en-US" w:eastAsia="zh-CN"/>
              </w:rPr>
            </w:pPr>
          </w:p>
        </w:tc>
        <w:tc>
          <w:tcPr>
            <w:tcW w:w="11661" w:type="dxa"/>
            <w:vAlign w:val="center"/>
          </w:tcPr>
          <w:p>
            <w:pPr>
              <w:numPr>
                <w:ilvl w:val="0"/>
                <w:numId w:val="0"/>
              </w:numPr>
              <w:spacing w:line="280" w:lineRule="exact"/>
              <w:ind w:firstLine="420" w:firstLineChars="200"/>
              <w:rPr>
                <w:rFonts w:hint="default" w:ascii="Times New Roman" w:hAnsi="Times New Roman" w:eastAsia="宋体"/>
                <w:lang w:val="en-US" w:eastAsia="zh-CN"/>
              </w:rPr>
            </w:pPr>
            <w:r>
              <w:rPr>
                <w:rFonts w:hint="eastAsia" w:ascii="Times New Roman" w:hAnsi="Times New Roman" w:eastAsia="宋体"/>
                <w:lang w:val="en-US" w:eastAsia="zh-CN"/>
              </w:rPr>
              <w:t>组织编制了LJ -P-07-2021《管理评审管理程序》，规定了评审时间、评审内容、计划安排、实施和报告的编制要求，内容基本完整，符合策划要求。</w:t>
            </w:r>
          </w:p>
          <w:p>
            <w:pPr>
              <w:numPr>
                <w:ilvl w:val="0"/>
                <w:numId w:val="0"/>
              </w:numPr>
              <w:spacing w:line="280" w:lineRule="exact"/>
              <w:ind w:firstLine="420" w:firstLineChars="200"/>
              <w:rPr>
                <w:rFonts w:hint="eastAsia" w:ascii="Times New Roman" w:hAnsi="Times New Roman" w:eastAsia="宋体"/>
                <w:lang w:val="en-US" w:eastAsia="zh-CN"/>
              </w:rPr>
            </w:pPr>
            <w:r>
              <w:rPr>
                <w:rFonts w:hint="eastAsia" w:ascii="Times New Roman" w:hAnsi="Times New Roman" w:eastAsia="宋体"/>
                <w:lang w:val="en-US" w:eastAsia="zh-CN"/>
              </w:rPr>
              <w:t>查见：</w:t>
            </w:r>
          </w:p>
          <w:p>
            <w:pPr>
              <w:numPr>
                <w:ilvl w:val="0"/>
                <w:numId w:val="0"/>
              </w:numPr>
              <w:spacing w:line="280" w:lineRule="exact"/>
              <w:ind w:firstLine="420" w:firstLineChars="200"/>
              <w:rPr>
                <w:rFonts w:hint="eastAsia" w:ascii="Times New Roman" w:hAnsi="Times New Roman" w:eastAsia="宋体"/>
                <w:lang w:val="en-US" w:eastAsia="zh-CN"/>
              </w:rPr>
            </w:pPr>
            <w:r>
              <w:rPr>
                <w:rFonts w:hint="eastAsia" w:ascii="Times New Roman" w:hAnsi="Times New Roman" w:eastAsia="宋体"/>
                <w:lang w:val="en-US" w:eastAsia="zh-CN"/>
              </w:rPr>
              <w:t>1.管理评审计划：包括评审依据、评审目的、评审内容等，除评审依据有待进一步确认外，内容基本完整，符合标准要求。</w:t>
            </w:r>
          </w:p>
          <w:p>
            <w:pPr>
              <w:numPr>
                <w:ilvl w:val="0"/>
                <w:numId w:val="0"/>
              </w:numPr>
              <w:spacing w:line="280" w:lineRule="exact"/>
              <w:ind w:firstLine="420" w:firstLineChars="200"/>
              <w:rPr>
                <w:rFonts w:hint="eastAsia" w:ascii="Times New Roman" w:hAnsi="Times New Roman" w:eastAsia="宋体"/>
                <w:lang w:val="en-US" w:eastAsia="zh-CN"/>
              </w:rPr>
            </w:pPr>
            <w:r>
              <w:rPr>
                <w:rFonts w:hint="eastAsia" w:ascii="Times New Roman" w:hAnsi="Times New Roman" w:eastAsia="宋体"/>
                <w:lang w:val="en-US" w:eastAsia="zh-CN"/>
              </w:rPr>
              <w:t>2.评审会议记录：内容包括时间、地点、主持人、记录人、参与人员和会议内容等，除未见参与人员手签外，基本满足记录控制要求。</w:t>
            </w:r>
          </w:p>
          <w:p>
            <w:pPr>
              <w:numPr>
                <w:ilvl w:val="0"/>
                <w:numId w:val="0"/>
              </w:numPr>
              <w:spacing w:line="280" w:lineRule="exact"/>
              <w:ind w:firstLine="420" w:firstLineChars="200"/>
              <w:rPr>
                <w:rFonts w:hint="eastAsia" w:ascii="Times New Roman" w:hAnsi="Times New Roman" w:eastAsia="宋体"/>
                <w:lang w:val="en-US" w:eastAsia="zh-CN"/>
              </w:rPr>
            </w:pPr>
            <w:r>
              <w:rPr>
                <w:rFonts w:hint="eastAsia" w:ascii="Times New Roman" w:hAnsi="Times New Roman" w:eastAsia="宋体"/>
                <w:lang w:val="en-US" w:eastAsia="zh-CN"/>
              </w:rPr>
              <w:t>3.管理评审报告：主要内容包括输入、输出和结论，输入内容基本完整，其中输出改进建议管理评审改进的问题如下：</w:t>
            </w:r>
          </w:p>
          <w:p>
            <w:pPr>
              <w:numPr>
                <w:ilvl w:val="0"/>
                <w:numId w:val="0"/>
              </w:numPr>
              <w:spacing w:line="280" w:lineRule="exact"/>
              <w:rPr>
                <w:rFonts w:hint="default" w:ascii="Times New Roman" w:hAnsi="Times New Roman" w:eastAsia="宋体"/>
                <w:lang w:val="en-US" w:eastAsia="zh-CN"/>
              </w:rPr>
            </w:pPr>
            <w:bookmarkStart w:id="3" w:name="OLE_LINK1"/>
            <w:r>
              <w:rPr>
                <w:rFonts w:hint="eastAsia" w:ascii="Times New Roman" w:hAnsi="Times New Roman" w:eastAsia="宋体"/>
                <w:lang w:val="en-US" w:eastAsia="zh-CN"/>
              </w:rPr>
              <w:t>①进一步建设风险管理体系，提高风险管理能力；</w:t>
            </w:r>
            <w:r>
              <w:rPr>
                <w:rFonts w:hint="eastAsia" w:ascii="Times New Roman" w:hAnsi="Times New Roman" w:eastAsia="宋体"/>
                <w:lang w:val="en-US" w:eastAsia="zh-CN"/>
              </w:rPr>
              <w:fldChar w:fldCharType="begin"/>
            </w:r>
            <w:r>
              <w:rPr>
                <w:rFonts w:hint="eastAsia" w:ascii="Times New Roman" w:hAnsi="Times New Roman" w:eastAsia="宋体"/>
                <w:lang w:val="en-US" w:eastAsia="zh-CN"/>
              </w:rPr>
              <w:instrText xml:space="preserve"> = 2 \* GB3 \* MERGEFORMAT </w:instrText>
            </w:r>
            <w:r>
              <w:rPr>
                <w:rFonts w:hint="eastAsia" w:ascii="Times New Roman" w:hAnsi="Times New Roman" w:eastAsia="宋体"/>
                <w:lang w:val="en-US" w:eastAsia="zh-CN"/>
              </w:rPr>
              <w:fldChar w:fldCharType="separate"/>
            </w:r>
            <w:r>
              <w:rPr>
                <w:rFonts w:hint="eastAsia" w:ascii="Times New Roman" w:hAnsi="Times New Roman" w:eastAsia="宋体"/>
                <w:lang w:val="en-US" w:eastAsia="zh-CN"/>
              </w:rPr>
              <w:t>②</w:t>
            </w:r>
            <w:r>
              <w:rPr>
                <w:rFonts w:hint="eastAsia" w:ascii="Times New Roman" w:hAnsi="Times New Roman" w:eastAsia="宋体"/>
                <w:lang w:val="en-US" w:eastAsia="zh-CN"/>
              </w:rPr>
              <w:fldChar w:fldCharType="end"/>
            </w:r>
            <w:r>
              <w:rPr>
                <w:rFonts w:hint="eastAsia" w:ascii="Times New Roman" w:hAnsi="Times New Roman" w:eastAsia="宋体"/>
                <w:lang w:val="en-US" w:eastAsia="zh-CN"/>
              </w:rPr>
              <w:t>加强产品过程检验和成品检验</w:t>
            </w:r>
            <w:bookmarkEnd w:id="3"/>
            <w:r>
              <w:rPr>
                <w:rFonts w:hint="eastAsia" w:ascii="Times New Roman" w:hAnsi="Times New Roman" w:eastAsia="宋体"/>
                <w:lang w:val="en-US" w:eastAsia="zh-CN"/>
              </w:rPr>
              <w:t>；结论如下：QEO基本有效、充分和适宜，执行以上改进建议，加大QEO改进力度，以确保QEO整体绩效的提高。</w:t>
            </w:r>
          </w:p>
          <w:p>
            <w:pPr>
              <w:numPr>
                <w:ilvl w:val="0"/>
                <w:numId w:val="0"/>
              </w:numPr>
              <w:spacing w:line="280" w:lineRule="exact"/>
              <w:ind w:firstLine="420" w:firstLineChars="200"/>
              <w:rPr>
                <w:rFonts w:hint="default" w:ascii="Times New Roman" w:hAnsi="Times New Roman" w:eastAsia="宋体"/>
                <w:lang w:val="en-US" w:eastAsia="zh-CN"/>
              </w:rPr>
            </w:pPr>
            <w:r>
              <w:rPr>
                <w:rFonts w:hint="eastAsia" w:ascii="Times New Roman" w:hAnsi="Times New Roman" w:eastAsia="宋体"/>
                <w:lang w:val="en-US" w:eastAsia="zh-CN"/>
              </w:rPr>
              <w:t>4.《QEO体系体系改进计划》：计划针对管理评审报告中的改进建议，实施改进内容，落实责任人和完成期限，并进行有效性评价，基本满足后续落实要求。</w:t>
            </w:r>
          </w:p>
        </w:tc>
        <w:tc>
          <w:tcPr>
            <w:tcW w:w="851" w:type="dxa"/>
          </w:tcPr>
          <w:p>
            <w:pPr>
              <w:rPr>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trPr>
        <w:tc>
          <w:tcPr>
            <w:tcW w:w="1242" w:type="dxa"/>
          </w:tcPr>
          <w:p>
            <w:pPr>
              <w:numPr>
                <w:ilvl w:val="0"/>
                <w:numId w:val="0"/>
              </w:numPr>
              <w:spacing w:line="280" w:lineRule="exact"/>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改进及其持续性</w:t>
            </w:r>
          </w:p>
        </w:tc>
        <w:tc>
          <w:tcPr>
            <w:tcW w:w="955" w:type="dxa"/>
          </w:tcPr>
          <w:p>
            <w:pPr>
              <w:numPr>
                <w:ilvl w:val="0"/>
                <w:numId w:val="0"/>
              </w:numPr>
              <w:spacing w:line="280" w:lineRule="exac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QEO10.1</w:t>
            </w:r>
          </w:p>
          <w:p>
            <w:pPr>
              <w:numPr>
                <w:ilvl w:val="0"/>
                <w:numId w:val="0"/>
              </w:numPr>
              <w:spacing w:line="280" w:lineRule="exac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/10.3</w:t>
            </w:r>
          </w:p>
          <w:p>
            <w:pPr>
              <w:numPr>
                <w:ilvl w:val="0"/>
                <w:numId w:val="0"/>
              </w:numPr>
              <w:spacing w:line="280" w:lineRule="exact"/>
              <w:rPr>
                <w:rFonts w:hint="eastAsia" w:ascii="宋体" w:hAnsi="宋体" w:eastAsia="宋体" w:cs="宋体"/>
                <w:sz w:val="21"/>
                <w:szCs w:val="21"/>
                <w:lang w:val="en-US" w:eastAsia="zh-CN"/>
              </w:rPr>
            </w:pPr>
          </w:p>
        </w:tc>
        <w:tc>
          <w:tcPr>
            <w:tcW w:w="11661" w:type="dxa"/>
            <w:vAlign w:val="center"/>
          </w:tcPr>
          <w:p>
            <w:pPr>
              <w:numPr>
                <w:ilvl w:val="0"/>
                <w:numId w:val="0"/>
              </w:numPr>
              <w:spacing w:line="280" w:lineRule="exact"/>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综合全部审核证据发现，组织通过目标监视、内部审核、管理评审、不合格和纠正措施等各项活动落实改进要求，相关管理活动包括绩效和有效性监视等得到有效开展，改进的要求基本得到满足。  </w:t>
            </w:r>
          </w:p>
          <w:p>
            <w:pPr>
              <w:numPr>
                <w:ilvl w:val="0"/>
                <w:numId w:val="0"/>
              </w:numPr>
              <w:spacing w:line="280" w:lineRule="exact"/>
              <w:ind w:firstLine="42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具体改进见各部门10.2条款记录。</w:t>
            </w:r>
          </w:p>
          <w:p>
            <w:pPr>
              <w:numPr>
                <w:ilvl w:val="0"/>
                <w:numId w:val="0"/>
              </w:numPr>
              <w:spacing w:line="280" w:lineRule="exact"/>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组织确定并选择改进机会，采取必要措施，满足顾客要求和增强顾客满意。</w:t>
            </w:r>
          </w:p>
          <w:p>
            <w:pPr>
              <w:numPr>
                <w:ilvl w:val="0"/>
                <w:numId w:val="0"/>
              </w:numPr>
              <w:spacing w:line="280" w:lineRule="exact"/>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包括：</w:t>
            </w:r>
          </w:p>
          <w:p>
            <w:pPr>
              <w:numPr>
                <w:ilvl w:val="0"/>
                <w:numId w:val="0"/>
              </w:numPr>
              <w:spacing w:line="280" w:lineRule="exact"/>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a) 改进产品或服务，以满足要求并关注未来的需求和期望；</w:t>
            </w:r>
          </w:p>
          <w:p>
            <w:pPr>
              <w:numPr>
                <w:ilvl w:val="0"/>
                <w:numId w:val="0"/>
              </w:numPr>
              <w:spacing w:line="280" w:lineRule="exact"/>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b) 纠正或减少不利影响；</w:t>
            </w:r>
          </w:p>
          <w:p>
            <w:pPr>
              <w:numPr>
                <w:ilvl w:val="0"/>
                <w:numId w:val="0"/>
              </w:numPr>
              <w:spacing w:line="280" w:lineRule="exact"/>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c) 改进管理体系绩效和有效性。</w:t>
            </w:r>
          </w:p>
          <w:p>
            <w:pPr>
              <w:numPr>
                <w:ilvl w:val="0"/>
                <w:numId w:val="0"/>
              </w:numPr>
              <w:spacing w:line="280" w:lineRule="exact"/>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对以下方面所需的监视、测量、分析和改进过程进行策划和实施：</w:t>
            </w:r>
          </w:p>
          <w:p>
            <w:pPr>
              <w:numPr>
                <w:ilvl w:val="0"/>
                <w:numId w:val="0"/>
              </w:numPr>
              <w:spacing w:line="280" w:lineRule="exact"/>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1.证实产品生产和和销售满足规定的要求；</w:t>
            </w:r>
          </w:p>
          <w:p>
            <w:pPr>
              <w:numPr>
                <w:ilvl w:val="0"/>
                <w:numId w:val="0"/>
              </w:numPr>
              <w:spacing w:line="280" w:lineRule="exact"/>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2.确保管理体系的符合性；</w:t>
            </w:r>
          </w:p>
          <w:p>
            <w:pPr>
              <w:numPr>
                <w:ilvl w:val="0"/>
                <w:numId w:val="0"/>
              </w:numPr>
              <w:spacing w:line="280" w:lineRule="exact"/>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3.持续改进管理体系的有效性。</w:t>
            </w:r>
          </w:p>
          <w:p>
            <w:pPr>
              <w:numPr>
                <w:ilvl w:val="0"/>
                <w:numId w:val="0"/>
              </w:numPr>
              <w:spacing w:line="280" w:lineRule="exact"/>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根据不同过程、不同产品和不同要求，采取不同的方法进行监视、测量和分析。</w:t>
            </w:r>
          </w:p>
          <w:p>
            <w:pPr>
              <w:numPr>
                <w:ilvl w:val="0"/>
                <w:numId w:val="0"/>
              </w:numPr>
              <w:spacing w:line="280" w:lineRule="exact"/>
              <w:ind w:firstLine="42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公司利用管理方针、目标、内审和外审、数据分析、纠正和预防措施以及管理评审，识别任何改进的机会，持续改进管理体系的适宜性、充分性和有效性。详见相关条款审核记录。</w:t>
            </w:r>
          </w:p>
        </w:tc>
        <w:tc>
          <w:tcPr>
            <w:tcW w:w="851" w:type="dxa"/>
          </w:tcPr>
          <w:p>
            <w:pPr>
              <w:rPr>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1242" w:type="dxa"/>
          </w:tcPr>
          <w:p>
            <w:pPr>
              <w:numPr>
                <w:ilvl w:val="0"/>
                <w:numId w:val="0"/>
              </w:numPr>
              <w:spacing w:line="280" w:lineRule="exact"/>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人数</w:t>
            </w:r>
          </w:p>
        </w:tc>
        <w:tc>
          <w:tcPr>
            <w:tcW w:w="955" w:type="dxa"/>
          </w:tcPr>
          <w:p>
            <w:pPr>
              <w:numPr>
                <w:ilvl w:val="0"/>
                <w:numId w:val="0"/>
              </w:numPr>
              <w:spacing w:line="280" w:lineRule="exact"/>
              <w:ind w:firstLine="420" w:firstLineChars="200"/>
              <w:rPr>
                <w:rFonts w:hint="eastAsia" w:ascii="宋体" w:hAnsi="宋体" w:eastAsia="宋体" w:cs="宋体"/>
                <w:sz w:val="21"/>
                <w:szCs w:val="21"/>
                <w:lang w:val="en-US" w:eastAsia="zh-CN"/>
              </w:rPr>
            </w:pPr>
          </w:p>
        </w:tc>
        <w:tc>
          <w:tcPr>
            <w:tcW w:w="11661" w:type="dxa"/>
            <w:vAlign w:val="center"/>
          </w:tcPr>
          <w:p>
            <w:pPr>
              <w:numPr>
                <w:ilvl w:val="0"/>
                <w:numId w:val="0"/>
              </w:numPr>
              <w:spacing w:line="280" w:lineRule="exact"/>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组织现有员工45人，与申报管理体系人数基本一致。</w:t>
            </w:r>
          </w:p>
        </w:tc>
        <w:tc>
          <w:tcPr>
            <w:tcW w:w="851" w:type="dxa"/>
          </w:tcPr>
          <w:p>
            <w:pPr>
              <w:rPr>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1242" w:type="dxa"/>
          </w:tcPr>
          <w:p>
            <w:pPr>
              <w:numPr>
                <w:ilvl w:val="0"/>
                <w:numId w:val="0"/>
              </w:numPr>
              <w:spacing w:line="280" w:lineRule="exact"/>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事故</w:t>
            </w:r>
          </w:p>
        </w:tc>
        <w:tc>
          <w:tcPr>
            <w:tcW w:w="955" w:type="dxa"/>
          </w:tcPr>
          <w:p>
            <w:pPr>
              <w:numPr>
                <w:ilvl w:val="0"/>
                <w:numId w:val="0"/>
              </w:numPr>
              <w:spacing w:line="280" w:lineRule="exact"/>
              <w:ind w:firstLine="420" w:firstLineChars="200"/>
              <w:rPr>
                <w:rFonts w:hint="eastAsia" w:ascii="宋体" w:hAnsi="宋体" w:eastAsia="宋体" w:cs="宋体"/>
                <w:sz w:val="21"/>
                <w:szCs w:val="21"/>
                <w:lang w:val="en-US" w:eastAsia="zh-CN"/>
              </w:rPr>
            </w:pPr>
          </w:p>
        </w:tc>
        <w:tc>
          <w:tcPr>
            <w:tcW w:w="11661" w:type="dxa"/>
            <w:vAlign w:val="center"/>
          </w:tcPr>
          <w:p>
            <w:pPr>
              <w:numPr>
                <w:ilvl w:val="0"/>
                <w:numId w:val="0"/>
              </w:numPr>
              <w:spacing w:line="280" w:lineRule="exact"/>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组织管理体系自运行以来，未发生质量、环境、职业健康安全事故。</w:t>
            </w:r>
          </w:p>
        </w:tc>
        <w:tc>
          <w:tcPr>
            <w:tcW w:w="851" w:type="dxa"/>
          </w:tcPr>
          <w:p>
            <w:pPr>
              <w:rPr>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242" w:type="dxa"/>
          </w:tcPr>
          <w:p>
            <w:pPr>
              <w:numPr>
                <w:ilvl w:val="0"/>
                <w:numId w:val="0"/>
              </w:numPr>
              <w:spacing w:line="280" w:lineRule="exact"/>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顾客投诉</w:t>
            </w:r>
          </w:p>
        </w:tc>
        <w:tc>
          <w:tcPr>
            <w:tcW w:w="955" w:type="dxa"/>
          </w:tcPr>
          <w:p>
            <w:pPr>
              <w:numPr>
                <w:ilvl w:val="0"/>
                <w:numId w:val="0"/>
              </w:numPr>
              <w:spacing w:line="280" w:lineRule="exact"/>
              <w:ind w:firstLine="420" w:firstLineChars="200"/>
              <w:rPr>
                <w:rFonts w:hint="eastAsia" w:ascii="宋体" w:hAnsi="宋体" w:eastAsia="宋体" w:cs="宋体"/>
                <w:sz w:val="21"/>
                <w:szCs w:val="21"/>
                <w:lang w:val="en-US" w:eastAsia="zh-CN"/>
              </w:rPr>
            </w:pPr>
          </w:p>
        </w:tc>
        <w:tc>
          <w:tcPr>
            <w:tcW w:w="11661" w:type="dxa"/>
            <w:vAlign w:val="center"/>
          </w:tcPr>
          <w:p>
            <w:pPr>
              <w:numPr>
                <w:ilvl w:val="0"/>
                <w:numId w:val="0"/>
              </w:numPr>
              <w:spacing w:line="280" w:lineRule="exact"/>
              <w:ind w:firstLine="420" w:firstLineChars="200"/>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管理体系运行期间，组织有收到顾客的质量反馈记录，具体见生产部QEO8.7，无投诉记录。</w:t>
            </w:r>
          </w:p>
        </w:tc>
        <w:tc>
          <w:tcPr>
            <w:tcW w:w="851" w:type="dxa"/>
          </w:tcPr>
          <w:p>
            <w:pPr>
              <w:rPr>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1242" w:type="dxa"/>
          </w:tcPr>
          <w:p>
            <w:pPr>
              <w:numPr>
                <w:ilvl w:val="0"/>
                <w:numId w:val="0"/>
              </w:numPr>
              <w:spacing w:line="280" w:lineRule="exact"/>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上级主管单位监督抽查</w:t>
            </w:r>
          </w:p>
        </w:tc>
        <w:tc>
          <w:tcPr>
            <w:tcW w:w="955" w:type="dxa"/>
          </w:tcPr>
          <w:p>
            <w:pPr>
              <w:numPr>
                <w:ilvl w:val="0"/>
                <w:numId w:val="0"/>
              </w:numPr>
              <w:spacing w:line="280" w:lineRule="exact"/>
              <w:ind w:firstLine="420" w:firstLineChars="200"/>
              <w:rPr>
                <w:rFonts w:hint="eastAsia" w:ascii="宋体" w:hAnsi="宋体" w:eastAsia="宋体" w:cs="宋体"/>
                <w:sz w:val="21"/>
                <w:szCs w:val="21"/>
                <w:lang w:val="en-US" w:eastAsia="zh-CN"/>
              </w:rPr>
            </w:pPr>
          </w:p>
        </w:tc>
        <w:tc>
          <w:tcPr>
            <w:tcW w:w="11661" w:type="dxa"/>
            <w:vAlign w:val="center"/>
          </w:tcPr>
          <w:p>
            <w:pPr>
              <w:numPr>
                <w:ilvl w:val="0"/>
                <w:numId w:val="0"/>
              </w:numPr>
              <w:spacing w:line="280" w:lineRule="exact"/>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近一年无上级主管部门对公司的在质量、环境、职业健康安全监督抽查</w:t>
            </w:r>
          </w:p>
        </w:tc>
        <w:tc>
          <w:tcPr>
            <w:tcW w:w="851" w:type="dxa"/>
          </w:tcPr>
          <w:p>
            <w:pPr>
              <w:rPr>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242" w:type="dxa"/>
          </w:tcPr>
          <w:p>
            <w:pPr>
              <w:numPr>
                <w:ilvl w:val="0"/>
                <w:numId w:val="0"/>
              </w:numPr>
              <w:spacing w:line="280" w:lineRule="exact"/>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遵纪守法情况</w:t>
            </w:r>
          </w:p>
        </w:tc>
        <w:tc>
          <w:tcPr>
            <w:tcW w:w="955" w:type="dxa"/>
          </w:tcPr>
          <w:p>
            <w:pPr>
              <w:numPr>
                <w:ilvl w:val="0"/>
                <w:numId w:val="0"/>
              </w:numPr>
              <w:spacing w:line="280" w:lineRule="exact"/>
              <w:ind w:firstLine="420" w:firstLineChars="200"/>
              <w:rPr>
                <w:rFonts w:hint="eastAsia" w:ascii="宋体" w:hAnsi="宋体" w:eastAsia="宋体" w:cs="宋体"/>
                <w:sz w:val="21"/>
                <w:szCs w:val="21"/>
                <w:lang w:val="en-US" w:eastAsia="zh-CN"/>
              </w:rPr>
            </w:pPr>
          </w:p>
        </w:tc>
        <w:tc>
          <w:tcPr>
            <w:tcW w:w="11661" w:type="dxa"/>
            <w:vAlign w:val="center"/>
          </w:tcPr>
          <w:p>
            <w:pPr>
              <w:numPr>
                <w:ilvl w:val="0"/>
                <w:numId w:val="0"/>
              </w:numPr>
              <w:spacing w:line="280" w:lineRule="exact"/>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目前组织经营过程中没有发生违反质量、环境和职业健康安全相关法律法规及其他要求的情况</w:t>
            </w:r>
          </w:p>
        </w:tc>
        <w:tc>
          <w:tcPr>
            <w:tcW w:w="851" w:type="dxa"/>
          </w:tcPr>
          <w:p>
            <w:pPr>
              <w:rPr>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1242" w:type="dxa"/>
          </w:tcPr>
          <w:p>
            <w:pPr>
              <w:numPr>
                <w:ilvl w:val="0"/>
                <w:numId w:val="0"/>
              </w:numPr>
              <w:spacing w:line="280" w:lineRule="exact"/>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一阶段问题整改</w:t>
            </w:r>
          </w:p>
        </w:tc>
        <w:tc>
          <w:tcPr>
            <w:tcW w:w="955" w:type="dxa"/>
          </w:tcPr>
          <w:p>
            <w:pPr>
              <w:numPr>
                <w:ilvl w:val="0"/>
                <w:numId w:val="0"/>
              </w:numPr>
              <w:spacing w:line="280" w:lineRule="exact"/>
              <w:ind w:firstLine="420" w:firstLineChars="200"/>
              <w:rPr>
                <w:rFonts w:hint="eastAsia" w:ascii="宋体" w:hAnsi="宋体" w:eastAsia="宋体" w:cs="宋体"/>
                <w:sz w:val="21"/>
                <w:szCs w:val="21"/>
                <w:lang w:val="en-US" w:eastAsia="zh-CN"/>
              </w:rPr>
            </w:pPr>
          </w:p>
        </w:tc>
        <w:tc>
          <w:tcPr>
            <w:tcW w:w="11661" w:type="dxa"/>
            <w:vAlign w:val="center"/>
          </w:tcPr>
          <w:p>
            <w:pPr>
              <w:numPr>
                <w:ilvl w:val="0"/>
                <w:numId w:val="0"/>
              </w:numPr>
              <w:spacing w:line="280" w:lineRule="exact"/>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一阶段未提出问题。</w:t>
            </w:r>
          </w:p>
        </w:tc>
        <w:tc>
          <w:tcPr>
            <w:tcW w:w="851" w:type="dxa"/>
          </w:tcPr>
          <w:p>
            <w:pPr>
              <w:rPr>
                <w:color w:val="FF0000"/>
              </w:rPr>
            </w:pPr>
          </w:p>
        </w:tc>
      </w:tr>
    </w:tbl>
    <w:p>
      <w:pPr>
        <w:pStyle w:val="6"/>
      </w:pPr>
    </w:p>
    <w:p>
      <w:pPr>
        <w:pStyle w:val="6"/>
      </w:pPr>
    </w:p>
    <w:p>
      <w:pPr>
        <w:pStyle w:val="6"/>
      </w:pPr>
    </w:p>
    <w:p>
      <w:pPr>
        <w:pStyle w:val="6"/>
      </w:pPr>
    </w:p>
    <w:p>
      <w:pPr>
        <w:spacing w:line="480" w:lineRule="exact"/>
        <w:jc w:val="center"/>
        <w:rPr>
          <w:rFonts w:asciiTheme="minorEastAsia" w:hAnsiTheme="minorEastAsia" w:eastAsiaTheme="minorEastAsia"/>
          <w:b/>
          <w:bCs/>
          <w:sz w:val="44"/>
          <w:szCs w:val="44"/>
        </w:rPr>
      </w:pPr>
      <w:r>
        <w:rPr>
          <w:rFonts w:hint="eastAsia" w:asciiTheme="minorEastAsia" w:hAnsiTheme="minorEastAsia" w:eastAsiaTheme="minorEastAsia"/>
          <w:b/>
          <w:bCs/>
          <w:sz w:val="44"/>
          <w:szCs w:val="44"/>
        </w:rPr>
        <w:t>管理体系审核记录表</w:t>
      </w:r>
    </w:p>
    <w:tbl>
      <w:tblPr>
        <w:tblStyle w:val="8"/>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455"/>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numPr>
                <w:ilvl w:val="0"/>
                <w:numId w:val="0"/>
              </w:numPr>
              <w:spacing w:line="280" w:lineRule="exact"/>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过程与活动、</w:t>
            </w:r>
          </w:p>
          <w:p>
            <w:pPr>
              <w:numPr>
                <w:ilvl w:val="0"/>
                <w:numId w:val="0"/>
              </w:numPr>
              <w:spacing w:line="280" w:lineRule="exact"/>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抽样计划</w:t>
            </w:r>
          </w:p>
        </w:tc>
        <w:tc>
          <w:tcPr>
            <w:tcW w:w="960" w:type="dxa"/>
            <w:vMerge w:val="restart"/>
            <w:vAlign w:val="center"/>
          </w:tcPr>
          <w:p>
            <w:pPr>
              <w:numPr>
                <w:ilvl w:val="0"/>
                <w:numId w:val="0"/>
              </w:numPr>
              <w:spacing w:line="280" w:lineRule="exac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涉及</w:t>
            </w:r>
          </w:p>
          <w:p>
            <w:pPr>
              <w:numPr>
                <w:ilvl w:val="0"/>
                <w:numId w:val="0"/>
              </w:numPr>
              <w:spacing w:line="280" w:lineRule="exac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条款</w:t>
            </w:r>
          </w:p>
        </w:tc>
        <w:tc>
          <w:tcPr>
            <w:tcW w:w="10455" w:type="dxa"/>
            <w:vAlign w:val="center"/>
          </w:tcPr>
          <w:p>
            <w:pPr>
              <w:numPr>
                <w:ilvl w:val="0"/>
                <w:numId w:val="0"/>
              </w:numPr>
              <w:spacing w:line="280" w:lineRule="exact"/>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受审核部门及区域：职业健康安全事务代表  吴海航、刘森、郑士美、吴其勇   陪同人员：张涛</w:t>
            </w:r>
          </w:p>
        </w:tc>
        <w:tc>
          <w:tcPr>
            <w:tcW w:w="1134" w:type="dxa"/>
            <w:vMerge w:val="restart"/>
            <w:vAlign w:val="center"/>
          </w:tcPr>
          <w:p>
            <w:pPr>
              <w:rPr>
                <w:rFonts w:ascii="楷体" w:hAnsi="楷体" w:eastAsia="楷体"/>
                <w:sz w:val="24"/>
                <w:szCs w:val="24"/>
              </w:rPr>
            </w:pPr>
            <w:r>
              <w:rPr>
                <w:rFonts w:hint="eastAsia" w:ascii="楷体" w:hAnsi="楷体" w:eastAsia="楷体"/>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numPr>
                <w:ilvl w:val="0"/>
                <w:numId w:val="0"/>
              </w:numPr>
              <w:spacing w:line="280" w:lineRule="exact"/>
              <w:ind w:firstLine="420" w:firstLineChars="200"/>
              <w:rPr>
                <w:rFonts w:hint="eastAsia" w:ascii="宋体" w:hAnsi="宋体" w:eastAsia="宋体" w:cs="宋体"/>
                <w:sz w:val="21"/>
                <w:szCs w:val="21"/>
                <w:lang w:val="en-US" w:eastAsia="zh-CN"/>
              </w:rPr>
            </w:pPr>
          </w:p>
        </w:tc>
        <w:tc>
          <w:tcPr>
            <w:tcW w:w="960" w:type="dxa"/>
            <w:vMerge w:val="continue"/>
            <w:vAlign w:val="center"/>
          </w:tcPr>
          <w:p>
            <w:pPr>
              <w:numPr>
                <w:ilvl w:val="0"/>
                <w:numId w:val="0"/>
              </w:numPr>
              <w:spacing w:line="280" w:lineRule="exact"/>
              <w:ind w:firstLine="420" w:firstLineChars="200"/>
              <w:rPr>
                <w:rFonts w:hint="eastAsia" w:ascii="宋体" w:hAnsi="宋体" w:eastAsia="宋体" w:cs="宋体"/>
                <w:sz w:val="21"/>
                <w:szCs w:val="21"/>
                <w:lang w:val="en-US" w:eastAsia="zh-CN"/>
              </w:rPr>
            </w:pPr>
          </w:p>
        </w:tc>
        <w:tc>
          <w:tcPr>
            <w:tcW w:w="10455" w:type="dxa"/>
            <w:vAlign w:val="center"/>
          </w:tcPr>
          <w:p>
            <w:pPr>
              <w:numPr>
                <w:ilvl w:val="0"/>
                <w:numId w:val="0"/>
              </w:numPr>
              <w:spacing w:line="280" w:lineRule="exact"/>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审核员：林兵   审核时间：2021.12.2 14:00-17:30</w:t>
            </w:r>
          </w:p>
        </w:tc>
        <w:tc>
          <w:tcPr>
            <w:tcW w:w="1134" w:type="dxa"/>
            <w:vMerge w:val="continue"/>
          </w:tcPr>
          <w:p>
            <w:pPr>
              <w:rPr>
                <w:rFonts w:ascii="楷体" w:hAnsi="楷体" w:eastAsia="楷体"/>
                <w:color w:val="FF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2160" w:type="dxa"/>
            <w:vMerge w:val="continue"/>
            <w:vAlign w:val="center"/>
          </w:tcPr>
          <w:p>
            <w:pPr>
              <w:numPr>
                <w:ilvl w:val="0"/>
                <w:numId w:val="0"/>
              </w:numPr>
              <w:spacing w:line="280" w:lineRule="exact"/>
              <w:ind w:firstLine="420" w:firstLineChars="200"/>
              <w:rPr>
                <w:rFonts w:hint="eastAsia" w:ascii="宋体" w:hAnsi="宋体" w:eastAsia="宋体" w:cs="宋体"/>
                <w:sz w:val="21"/>
                <w:szCs w:val="21"/>
                <w:lang w:val="en-US" w:eastAsia="zh-CN"/>
              </w:rPr>
            </w:pPr>
          </w:p>
        </w:tc>
        <w:tc>
          <w:tcPr>
            <w:tcW w:w="960" w:type="dxa"/>
            <w:vMerge w:val="continue"/>
            <w:vAlign w:val="center"/>
          </w:tcPr>
          <w:p>
            <w:pPr>
              <w:numPr>
                <w:ilvl w:val="0"/>
                <w:numId w:val="0"/>
              </w:numPr>
              <w:spacing w:line="280" w:lineRule="exact"/>
              <w:ind w:firstLine="420" w:firstLineChars="200"/>
              <w:rPr>
                <w:rFonts w:hint="eastAsia" w:ascii="宋体" w:hAnsi="宋体" w:eastAsia="宋体" w:cs="宋体"/>
                <w:sz w:val="21"/>
                <w:szCs w:val="21"/>
                <w:lang w:val="en-US" w:eastAsia="zh-CN"/>
              </w:rPr>
            </w:pPr>
          </w:p>
        </w:tc>
        <w:tc>
          <w:tcPr>
            <w:tcW w:w="10455" w:type="dxa"/>
            <w:vAlign w:val="center"/>
          </w:tcPr>
          <w:p>
            <w:pPr>
              <w:numPr>
                <w:ilvl w:val="0"/>
                <w:numId w:val="0"/>
              </w:numPr>
              <w:spacing w:line="280" w:lineRule="exact"/>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涉及标准条款：O：5.3/5.4/7.4</w:t>
            </w:r>
          </w:p>
        </w:tc>
        <w:tc>
          <w:tcPr>
            <w:tcW w:w="1134" w:type="dxa"/>
            <w:vMerge w:val="continue"/>
          </w:tcPr>
          <w:p>
            <w:pPr>
              <w:rPr>
                <w:rFonts w:ascii="楷体" w:hAnsi="楷体" w:eastAsia="楷体"/>
                <w:color w:val="FF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0" w:hRule="atLeast"/>
        </w:trPr>
        <w:tc>
          <w:tcPr>
            <w:tcW w:w="2160" w:type="dxa"/>
          </w:tcPr>
          <w:p>
            <w:pPr>
              <w:numPr>
                <w:ilvl w:val="0"/>
                <w:numId w:val="0"/>
              </w:numPr>
              <w:spacing w:line="280" w:lineRule="exact"/>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职责权限</w:t>
            </w:r>
          </w:p>
          <w:p>
            <w:pPr>
              <w:numPr>
                <w:ilvl w:val="0"/>
                <w:numId w:val="0"/>
              </w:numPr>
              <w:spacing w:line="280" w:lineRule="exact"/>
              <w:ind w:firstLine="420" w:firstLineChars="200"/>
              <w:rPr>
                <w:rFonts w:hint="eastAsia" w:ascii="宋体" w:hAnsi="宋体" w:eastAsia="宋体" w:cs="宋体"/>
                <w:sz w:val="21"/>
                <w:szCs w:val="21"/>
                <w:lang w:val="en-US" w:eastAsia="zh-CN"/>
              </w:rPr>
            </w:pPr>
          </w:p>
          <w:p>
            <w:pPr>
              <w:numPr>
                <w:ilvl w:val="0"/>
                <w:numId w:val="0"/>
              </w:numPr>
              <w:spacing w:line="280" w:lineRule="exact"/>
              <w:ind w:firstLine="420" w:firstLineChars="200"/>
              <w:rPr>
                <w:rFonts w:hint="eastAsia" w:ascii="宋体" w:hAnsi="宋体" w:eastAsia="宋体" w:cs="宋体"/>
                <w:sz w:val="21"/>
                <w:szCs w:val="21"/>
                <w:lang w:val="en-US" w:eastAsia="zh-CN"/>
              </w:rPr>
            </w:pPr>
          </w:p>
          <w:p>
            <w:pPr>
              <w:numPr>
                <w:ilvl w:val="0"/>
                <w:numId w:val="0"/>
              </w:numPr>
              <w:spacing w:line="280" w:lineRule="exact"/>
              <w:ind w:firstLine="420" w:firstLineChars="200"/>
              <w:rPr>
                <w:rFonts w:hint="eastAsia" w:ascii="宋体" w:hAnsi="宋体" w:eastAsia="宋体" w:cs="宋体"/>
                <w:sz w:val="21"/>
                <w:szCs w:val="21"/>
                <w:lang w:val="en-US" w:eastAsia="zh-CN"/>
              </w:rPr>
            </w:pPr>
          </w:p>
          <w:p>
            <w:pPr>
              <w:numPr>
                <w:ilvl w:val="0"/>
                <w:numId w:val="0"/>
              </w:numPr>
              <w:spacing w:line="280" w:lineRule="exact"/>
              <w:ind w:firstLine="420" w:firstLineChars="200"/>
              <w:rPr>
                <w:rFonts w:hint="eastAsia" w:ascii="宋体" w:hAnsi="宋体" w:eastAsia="宋体" w:cs="宋体"/>
                <w:sz w:val="21"/>
                <w:szCs w:val="21"/>
                <w:lang w:val="en-US" w:eastAsia="zh-CN"/>
              </w:rPr>
            </w:pPr>
          </w:p>
        </w:tc>
        <w:tc>
          <w:tcPr>
            <w:tcW w:w="960" w:type="dxa"/>
          </w:tcPr>
          <w:p>
            <w:pPr>
              <w:numPr>
                <w:ilvl w:val="0"/>
                <w:numId w:val="0"/>
              </w:numPr>
              <w:spacing w:line="280" w:lineRule="exac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O5.3</w:t>
            </w:r>
          </w:p>
          <w:p>
            <w:pPr>
              <w:numPr>
                <w:ilvl w:val="0"/>
                <w:numId w:val="0"/>
              </w:numPr>
              <w:spacing w:line="280" w:lineRule="exact"/>
              <w:ind w:firstLine="420" w:firstLineChars="200"/>
              <w:rPr>
                <w:rFonts w:hint="eastAsia" w:ascii="宋体" w:hAnsi="宋体" w:eastAsia="宋体" w:cs="宋体"/>
                <w:sz w:val="21"/>
                <w:szCs w:val="21"/>
                <w:lang w:val="en-US" w:eastAsia="zh-CN"/>
              </w:rPr>
            </w:pPr>
          </w:p>
          <w:p>
            <w:pPr>
              <w:numPr>
                <w:ilvl w:val="0"/>
                <w:numId w:val="0"/>
              </w:numPr>
              <w:spacing w:line="280" w:lineRule="exact"/>
              <w:ind w:firstLine="420" w:firstLineChars="200"/>
              <w:rPr>
                <w:rFonts w:hint="eastAsia" w:ascii="宋体" w:hAnsi="宋体" w:eastAsia="宋体" w:cs="宋体"/>
                <w:sz w:val="21"/>
                <w:szCs w:val="21"/>
                <w:lang w:val="en-US" w:eastAsia="zh-CN"/>
              </w:rPr>
            </w:pPr>
          </w:p>
          <w:p>
            <w:pPr>
              <w:numPr>
                <w:ilvl w:val="0"/>
                <w:numId w:val="0"/>
              </w:numPr>
              <w:spacing w:line="280" w:lineRule="exact"/>
              <w:ind w:firstLine="420" w:firstLineChars="200"/>
              <w:rPr>
                <w:rFonts w:hint="eastAsia" w:ascii="宋体" w:hAnsi="宋体" w:eastAsia="宋体" w:cs="宋体"/>
                <w:sz w:val="21"/>
                <w:szCs w:val="21"/>
                <w:lang w:val="en-US" w:eastAsia="zh-CN"/>
              </w:rPr>
            </w:pPr>
          </w:p>
          <w:p>
            <w:pPr>
              <w:numPr>
                <w:ilvl w:val="0"/>
                <w:numId w:val="0"/>
              </w:numPr>
              <w:spacing w:line="280" w:lineRule="exact"/>
              <w:ind w:firstLine="420" w:firstLineChars="200"/>
              <w:rPr>
                <w:rFonts w:hint="eastAsia" w:ascii="宋体" w:hAnsi="宋体" w:eastAsia="宋体" w:cs="宋体"/>
                <w:sz w:val="21"/>
                <w:szCs w:val="21"/>
                <w:lang w:val="en-US" w:eastAsia="zh-CN"/>
              </w:rPr>
            </w:pPr>
          </w:p>
        </w:tc>
        <w:tc>
          <w:tcPr>
            <w:tcW w:w="10455" w:type="dxa"/>
            <w:vAlign w:val="center"/>
          </w:tcPr>
          <w:p>
            <w:pPr>
              <w:numPr>
                <w:ilvl w:val="0"/>
                <w:numId w:val="0"/>
              </w:numPr>
              <w:spacing w:line="280" w:lineRule="exact"/>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查该组织通过员工选举推举余道明为职业健康安全事务代表。</w:t>
            </w:r>
          </w:p>
          <w:p>
            <w:pPr>
              <w:numPr>
                <w:ilvl w:val="0"/>
                <w:numId w:val="0"/>
              </w:numPr>
              <w:spacing w:line="280" w:lineRule="exact"/>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职业健康安全事务代表的职责主要包括:</w:t>
            </w:r>
          </w:p>
          <w:p>
            <w:pPr>
              <w:numPr>
                <w:ilvl w:val="0"/>
                <w:numId w:val="0"/>
              </w:numPr>
              <w:spacing w:line="280" w:lineRule="exact"/>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1.参与公司职业健康安全方针、目标和管理方案的制定</w:t>
            </w:r>
          </w:p>
          <w:p>
            <w:pPr>
              <w:numPr>
                <w:ilvl w:val="0"/>
                <w:numId w:val="0"/>
              </w:numPr>
              <w:spacing w:line="280" w:lineRule="exact"/>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2.参与危险源的辨识、风险评价和控制措施的确定；</w:t>
            </w:r>
          </w:p>
          <w:p>
            <w:pPr>
              <w:numPr>
                <w:ilvl w:val="0"/>
                <w:numId w:val="0"/>
              </w:numPr>
              <w:spacing w:line="280" w:lineRule="exact"/>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3.参与适用于公司的职业健康安全法律法规和其它要求的识别与更新；</w:t>
            </w:r>
          </w:p>
          <w:p>
            <w:pPr>
              <w:numPr>
                <w:ilvl w:val="0"/>
                <w:numId w:val="0"/>
              </w:numPr>
              <w:spacing w:line="280" w:lineRule="exact"/>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4.代表员工就公司职业健康安全事项和公司最高管理层进行协商和沟通；</w:t>
            </w:r>
          </w:p>
          <w:p>
            <w:pPr>
              <w:numPr>
                <w:ilvl w:val="0"/>
                <w:numId w:val="0"/>
              </w:numPr>
              <w:spacing w:line="280" w:lineRule="exact"/>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5、参加事件的调查等。</w:t>
            </w:r>
          </w:p>
          <w:p>
            <w:pPr>
              <w:numPr>
                <w:ilvl w:val="0"/>
                <w:numId w:val="0"/>
              </w:numPr>
              <w:spacing w:line="280" w:lineRule="exact"/>
              <w:ind w:firstLine="420" w:firstLineChars="200"/>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经询问，员工代表基本了解其职责情况，满足协商和参与机制的要求。</w:t>
            </w:r>
          </w:p>
        </w:tc>
        <w:tc>
          <w:tcPr>
            <w:tcW w:w="1134" w:type="dxa"/>
          </w:tcPr>
          <w:p>
            <w:pPr>
              <w:rPr>
                <w:rFonts w:hint="eastAsia" w:ascii="楷体" w:hAnsi="楷体" w:eastAsia="楷体"/>
                <w:color w:val="FF000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trPr>
        <w:tc>
          <w:tcPr>
            <w:tcW w:w="2160" w:type="dxa"/>
          </w:tcPr>
          <w:p>
            <w:pPr>
              <w:numPr>
                <w:ilvl w:val="0"/>
                <w:numId w:val="0"/>
              </w:numPr>
              <w:spacing w:line="280" w:lineRule="exact"/>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协商和沟通</w:t>
            </w:r>
          </w:p>
        </w:tc>
        <w:tc>
          <w:tcPr>
            <w:tcW w:w="960" w:type="dxa"/>
          </w:tcPr>
          <w:p>
            <w:pPr>
              <w:numPr>
                <w:ilvl w:val="0"/>
                <w:numId w:val="0"/>
              </w:numPr>
              <w:spacing w:line="280" w:lineRule="exac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05.4、7.4</w:t>
            </w:r>
          </w:p>
        </w:tc>
        <w:tc>
          <w:tcPr>
            <w:tcW w:w="10455" w:type="dxa"/>
            <w:vAlign w:val="center"/>
          </w:tcPr>
          <w:p>
            <w:pPr>
              <w:numPr>
                <w:ilvl w:val="0"/>
                <w:numId w:val="0"/>
              </w:numPr>
              <w:spacing w:line="280" w:lineRule="exact"/>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经交流：余道明参与了组织职业健康危险源辨识等相关职业健康安全活动的策划工作，组织管理体系运行至今无员工投诉，员工代表在协商参与机制中的沟通基本无不畅通的状况。</w:t>
            </w:r>
          </w:p>
        </w:tc>
        <w:tc>
          <w:tcPr>
            <w:tcW w:w="1134" w:type="dxa"/>
          </w:tcPr>
          <w:p>
            <w:pPr>
              <w:rPr>
                <w:rFonts w:ascii="楷体" w:hAnsi="楷体" w:eastAsia="楷体"/>
                <w:color w:val="FF0000"/>
                <w:sz w:val="24"/>
                <w:szCs w:val="24"/>
              </w:rPr>
            </w:pPr>
          </w:p>
        </w:tc>
      </w:tr>
    </w:tbl>
    <w:p>
      <w:pPr>
        <w:pStyle w:val="6"/>
        <w:rPr>
          <w:rFonts w:ascii="楷体" w:hAnsi="楷体" w:eastAsia="楷体"/>
          <w:color w:val="FF0000"/>
          <w:sz w:val="24"/>
          <w:szCs w:val="24"/>
        </w:rPr>
      </w:pPr>
    </w:p>
    <w:p>
      <w:pPr>
        <w:pStyle w:val="6"/>
        <w:rPr>
          <w:rFonts w:hint="default" w:ascii="楷体" w:hAnsi="楷体" w:eastAsia="楷体"/>
          <w:sz w:val="24"/>
          <w:szCs w:val="24"/>
          <w:lang w:val="en-US" w:eastAsia="zh-CN"/>
        </w:rPr>
      </w:pPr>
      <w:r>
        <w:rPr>
          <w:rFonts w:hint="eastAsia" w:ascii="楷体" w:hAnsi="楷体" w:eastAsia="楷体"/>
          <w:sz w:val="24"/>
          <w:szCs w:val="24"/>
        </w:rPr>
        <w:t>说明：不符合标注N</w:t>
      </w:r>
      <w:r>
        <w:rPr>
          <w:rFonts w:hint="eastAsia" w:ascii="楷体" w:hAnsi="楷体" w:eastAsia="楷体"/>
          <w:sz w:val="24"/>
          <w:szCs w:val="24"/>
          <w:lang w:eastAsia="zh-CN"/>
        </w:rPr>
        <w:t>，</w:t>
      </w:r>
      <w:r>
        <w:rPr>
          <w:rFonts w:hint="eastAsia" w:ascii="楷体" w:hAnsi="楷体" w:eastAsia="楷体"/>
          <w:sz w:val="24"/>
          <w:szCs w:val="24"/>
          <w:lang w:val="en-US" w:eastAsia="zh-CN"/>
        </w:rPr>
        <w:t>QEO记录已由组长进行整合。</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隶书">
    <w:panose1 w:val="02010509060101010101"/>
    <w:charset w:val="86"/>
    <w:family w:val="modern"/>
    <w:pitch w:val="default"/>
    <w:sig w:usb0="00000001" w:usb1="080E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6"/>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20</w:t>
            </w:r>
            <w:r>
              <w:rPr>
                <w:b/>
                <w:sz w:val="24"/>
                <w:szCs w:val="24"/>
              </w:rPr>
              <w:fldChar w:fldCharType="end"/>
            </w:r>
          </w:p>
        </w:sdtContent>
      </w:sdt>
    </w:sdtContent>
  </w:sdt>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tabs>
        <w:tab w:val="left" w:pos="8910"/>
        <w:tab w:val="left" w:pos="9142"/>
        <w:tab w:val="clear" w:pos="4153"/>
      </w:tabs>
      <w:spacing w:line="320" w:lineRule="exact"/>
      <w:ind w:left="-86" w:leftChars="-41" w:firstLine="810" w:firstLineChars="450"/>
      <w:jc w:val="left"/>
      <w:rPr>
        <w:rStyle w:val="14"/>
        <w:rFonts w:hint="default"/>
      </w:rPr>
    </w:pPr>
    <w: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4"/>
        <w:rFonts w:hint="default"/>
      </w:rPr>
      <w:t>北京国标联合认证有限公司</w:t>
    </w:r>
    <w:r>
      <w:rPr>
        <w:rStyle w:val="14"/>
        <w:rFonts w:hint="default"/>
      </w:rPr>
      <w:tab/>
    </w:r>
    <w:r>
      <w:rPr>
        <w:rStyle w:val="14"/>
        <w:rFonts w:hint="default"/>
      </w:rPr>
      <w:tab/>
    </w:r>
    <w:r>
      <w:rPr>
        <w:rStyle w:val="14"/>
        <w:rFonts w:hint="default"/>
      </w:rPr>
      <w:tab/>
    </w:r>
  </w:p>
  <w:p>
    <w:pPr>
      <w:pStyle w:val="7"/>
      <w:pBdr>
        <w:bottom w:val="none" w:color="auto" w:sz="0" w:space="1"/>
      </w:pBdr>
      <w:spacing w:line="320" w:lineRule="exact"/>
      <w:jc w:val="left"/>
    </w:pPr>
    <w:r>
      <w:pict>
        <v:shape id="文本框 1" o:spid="_x0000_s4097" o:spt="202" type="#_x0000_t202" style="position:absolute;left:0pt;margin-left:554.75pt;margin-top:2.2pt;height:20.2pt;width:172pt;z-index:251660288;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r>
                  <w:rPr>
                    <w:rFonts w:hint="eastAsia"/>
                    <w:sz w:val="18"/>
                    <w:szCs w:val="18"/>
                  </w:rPr>
                  <w:t>ISC-B-I-19 管理体系审核记录表(03版)</w:t>
                </w:r>
              </w:p>
            </w:txbxContent>
          </v:textbox>
        </v:shape>
      </w:pict>
    </w:r>
    <w:r>
      <w:rPr>
        <w:rStyle w:val="14"/>
        <w:rFonts w:hint="default"/>
      </w:rPr>
      <w:t xml:space="preserve">        </w:t>
    </w:r>
    <w:r>
      <w:rPr>
        <w:rStyle w:val="14"/>
        <w:rFonts w:hint="default"/>
        <w:w w:val="90"/>
      </w:rPr>
      <w:t>Beijing International Standard united Certification Co.,Ltd.</w:t>
    </w:r>
    <w:r>
      <w:rPr>
        <w:rStyle w:val="14"/>
        <w:rFonts w:hint="default"/>
        <w:w w:val="90"/>
        <w:szCs w:val="21"/>
      </w:rPr>
      <w:t xml:space="preserve">  </w:t>
    </w:r>
    <w:r>
      <w:rPr>
        <w:rStyle w:val="14"/>
        <w:rFonts w:hint="default"/>
        <w:w w:val="90"/>
        <w:sz w:val="20"/>
      </w:rPr>
      <w:t xml:space="preserve"> </w:t>
    </w:r>
    <w:r>
      <w:rPr>
        <w:rStyle w:val="14"/>
        <w:rFonts w:hint="default"/>
        <w:w w:val="90"/>
      </w:rPr>
      <w:t xml:space="preserve">                   </w:t>
    </w:r>
  </w:p>
  <w:p>
    <w:pPr>
      <w:pStyle w:val="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043CB"/>
    <w:rsid w:val="00020F5A"/>
    <w:rsid w:val="000237F6"/>
    <w:rsid w:val="000258CD"/>
    <w:rsid w:val="0003373A"/>
    <w:rsid w:val="0005083C"/>
    <w:rsid w:val="000515B6"/>
    <w:rsid w:val="00054136"/>
    <w:rsid w:val="00057B91"/>
    <w:rsid w:val="0006102E"/>
    <w:rsid w:val="000710E4"/>
    <w:rsid w:val="000A1CA7"/>
    <w:rsid w:val="00110343"/>
    <w:rsid w:val="0012572F"/>
    <w:rsid w:val="00153691"/>
    <w:rsid w:val="00171A84"/>
    <w:rsid w:val="00183AB3"/>
    <w:rsid w:val="001A2D7F"/>
    <w:rsid w:val="00202B7C"/>
    <w:rsid w:val="0021156B"/>
    <w:rsid w:val="00221A32"/>
    <w:rsid w:val="00232E13"/>
    <w:rsid w:val="00240E2A"/>
    <w:rsid w:val="00245592"/>
    <w:rsid w:val="00253156"/>
    <w:rsid w:val="00317036"/>
    <w:rsid w:val="00337922"/>
    <w:rsid w:val="00340867"/>
    <w:rsid w:val="00341E11"/>
    <w:rsid w:val="00380837"/>
    <w:rsid w:val="003A198A"/>
    <w:rsid w:val="003C492E"/>
    <w:rsid w:val="003C588D"/>
    <w:rsid w:val="003D60E6"/>
    <w:rsid w:val="003F66D4"/>
    <w:rsid w:val="003F775B"/>
    <w:rsid w:val="00410914"/>
    <w:rsid w:val="004344A7"/>
    <w:rsid w:val="004378F3"/>
    <w:rsid w:val="00467CAB"/>
    <w:rsid w:val="004822F1"/>
    <w:rsid w:val="004B37F2"/>
    <w:rsid w:val="004D29D2"/>
    <w:rsid w:val="00517A1F"/>
    <w:rsid w:val="00532D38"/>
    <w:rsid w:val="00536930"/>
    <w:rsid w:val="0055558C"/>
    <w:rsid w:val="00564E53"/>
    <w:rsid w:val="005775A4"/>
    <w:rsid w:val="00595758"/>
    <w:rsid w:val="005D1743"/>
    <w:rsid w:val="005E67E9"/>
    <w:rsid w:val="005F3497"/>
    <w:rsid w:val="006056EA"/>
    <w:rsid w:val="00611ADE"/>
    <w:rsid w:val="0063797B"/>
    <w:rsid w:val="00643FD1"/>
    <w:rsid w:val="00644FE2"/>
    <w:rsid w:val="006570CF"/>
    <w:rsid w:val="0067640C"/>
    <w:rsid w:val="006811DA"/>
    <w:rsid w:val="006878FE"/>
    <w:rsid w:val="006A653A"/>
    <w:rsid w:val="006D7128"/>
    <w:rsid w:val="006E678B"/>
    <w:rsid w:val="00711024"/>
    <w:rsid w:val="0072280D"/>
    <w:rsid w:val="00727331"/>
    <w:rsid w:val="00735A80"/>
    <w:rsid w:val="007757F3"/>
    <w:rsid w:val="007E2BC3"/>
    <w:rsid w:val="007E4532"/>
    <w:rsid w:val="007E6AEB"/>
    <w:rsid w:val="008070EF"/>
    <w:rsid w:val="00887DAC"/>
    <w:rsid w:val="008902D5"/>
    <w:rsid w:val="008973EE"/>
    <w:rsid w:val="008D1417"/>
    <w:rsid w:val="0091039B"/>
    <w:rsid w:val="009203F9"/>
    <w:rsid w:val="00944B05"/>
    <w:rsid w:val="00945B4E"/>
    <w:rsid w:val="00971600"/>
    <w:rsid w:val="0099193A"/>
    <w:rsid w:val="009973B4"/>
    <w:rsid w:val="009C28C1"/>
    <w:rsid w:val="009C4F3D"/>
    <w:rsid w:val="009D0A76"/>
    <w:rsid w:val="009D28A3"/>
    <w:rsid w:val="009F7EED"/>
    <w:rsid w:val="00A26D39"/>
    <w:rsid w:val="00AB5D2F"/>
    <w:rsid w:val="00AF0AAB"/>
    <w:rsid w:val="00B14E98"/>
    <w:rsid w:val="00B32CBD"/>
    <w:rsid w:val="00B43D9F"/>
    <w:rsid w:val="00BA4C9C"/>
    <w:rsid w:val="00BE3113"/>
    <w:rsid w:val="00BE4C7C"/>
    <w:rsid w:val="00BF597E"/>
    <w:rsid w:val="00C01B6A"/>
    <w:rsid w:val="00C06CF5"/>
    <w:rsid w:val="00C15701"/>
    <w:rsid w:val="00C24584"/>
    <w:rsid w:val="00C34C6F"/>
    <w:rsid w:val="00C4072B"/>
    <w:rsid w:val="00C51A36"/>
    <w:rsid w:val="00C55228"/>
    <w:rsid w:val="00C82DBB"/>
    <w:rsid w:val="00C85786"/>
    <w:rsid w:val="00CC18F0"/>
    <w:rsid w:val="00CD77B7"/>
    <w:rsid w:val="00CE315A"/>
    <w:rsid w:val="00D06F59"/>
    <w:rsid w:val="00D07DC3"/>
    <w:rsid w:val="00D26766"/>
    <w:rsid w:val="00D8388C"/>
    <w:rsid w:val="00D95366"/>
    <w:rsid w:val="00DC665C"/>
    <w:rsid w:val="00E04C1E"/>
    <w:rsid w:val="00E15AC5"/>
    <w:rsid w:val="00E22A1C"/>
    <w:rsid w:val="00E24B1E"/>
    <w:rsid w:val="00E55C79"/>
    <w:rsid w:val="00E611ED"/>
    <w:rsid w:val="00E67C82"/>
    <w:rsid w:val="00EB0164"/>
    <w:rsid w:val="00ED0F62"/>
    <w:rsid w:val="00EF2D1B"/>
    <w:rsid w:val="00F16DE8"/>
    <w:rsid w:val="00F2272E"/>
    <w:rsid w:val="00FB38B0"/>
    <w:rsid w:val="00FC2F86"/>
    <w:rsid w:val="00FD3466"/>
    <w:rsid w:val="011E7A06"/>
    <w:rsid w:val="06380A36"/>
    <w:rsid w:val="063C25A1"/>
    <w:rsid w:val="07A4486E"/>
    <w:rsid w:val="087F1978"/>
    <w:rsid w:val="0A5C1D75"/>
    <w:rsid w:val="0B1F7084"/>
    <w:rsid w:val="0C160E49"/>
    <w:rsid w:val="0C2B0239"/>
    <w:rsid w:val="0CD619C5"/>
    <w:rsid w:val="0D3737A0"/>
    <w:rsid w:val="0E4D3F08"/>
    <w:rsid w:val="108219C2"/>
    <w:rsid w:val="112A2839"/>
    <w:rsid w:val="14F85F8E"/>
    <w:rsid w:val="16353C00"/>
    <w:rsid w:val="19122D9F"/>
    <w:rsid w:val="1C0F41E1"/>
    <w:rsid w:val="1D2A7848"/>
    <w:rsid w:val="1E5B1377"/>
    <w:rsid w:val="1EC70B1E"/>
    <w:rsid w:val="1F8D1CC6"/>
    <w:rsid w:val="20787CB3"/>
    <w:rsid w:val="21C5052E"/>
    <w:rsid w:val="245E76FD"/>
    <w:rsid w:val="249B49DE"/>
    <w:rsid w:val="27156060"/>
    <w:rsid w:val="291E06B3"/>
    <w:rsid w:val="29636C1E"/>
    <w:rsid w:val="2A4E3856"/>
    <w:rsid w:val="2C9D6971"/>
    <w:rsid w:val="2D22001E"/>
    <w:rsid w:val="2DDF2977"/>
    <w:rsid w:val="2DEE0C03"/>
    <w:rsid w:val="2FF02762"/>
    <w:rsid w:val="2FF1178F"/>
    <w:rsid w:val="32700042"/>
    <w:rsid w:val="3309674B"/>
    <w:rsid w:val="33E52369"/>
    <w:rsid w:val="35251994"/>
    <w:rsid w:val="389A53B4"/>
    <w:rsid w:val="394F0285"/>
    <w:rsid w:val="3E7B0894"/>
    <w:rsid w:val="3F8A0269"/>
    <w:rsid w:val="41266FCC"/>
    <w:rsid w:val="42622B53"/>
    <w:rsid w:val="428B4B01"/>
    <w:rsid w:val="451C407E"/>
    <w:rsid w:val="477B65CF"/>
    <w:rsid w:val="4A251A07"/>
    <w:rsid w:val="4B9F4176"/>
    <w:rsid w:val="4F4626F3"/>
    <w:rsid w:val="4F541FFE"/>
    <w:rsid w:val="4F5902F9"/>
    <w:rsid w:val="506C2B19"/>
    <w:rsid w:val="5498048B"/>
    <w:rsid w:val="57572313"/>
    <w:rsid w:val="58373ECD"/>
    <w:rsid w:val="5D211DB5"/>
    <w:rsid w:val="5D252FC1"/>
    <w:rsid w:val="5EA12B9A"/>
    <w:rsid w:val="5FC9520A"/>
    <w:rsid w:val="6181075C"/>
    <w:rsid w:val="61D125C8"/>
    <w:rsid w:val="62A80882"/>
    <w:rsid w:val="63691DC0"/>
    <w:rsid w:val="643B4F0D"/>
    <w:rsid w:val="65510D5D"/>
    <w:rsid w:val="66C96E18"/>
    <w:rsid w:val="67366F9E"/>
    <w:rsid w:val="677D5E3A"/>
    <w:rsid w:val="6AD3765D"/>
    <w:rsid w:val="6CDF2E3F"/>
    <w:rsid w:val="6DF51A8E"/>
    <w:rsid w:val="6E7F4B8D"/>
    <w:rsid w:val="731E2CB7"/>
    <w:rsid w:val="794F33AE"/>
    <w:rsid w:val="7D31549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2"/>
    <w:basedOn w:val="1"/>
    <w:next w:val="3"/>
    <w:qFormat/>
    <w:uiPriority w:val="0"/>
    <w:pPr>
      <w:keepNext/>
      <w:spacing w:line="400" w:lineRule="atLeast"/>
      <w:jc w:val="center"/>
      <w:outlineLvl w:val="1"/>
    </w:pPr>
    <w:rPr>
      <w:spacing w:val="8"/>
      <w:sz w:val="36"/>
      <w:szCs w:val="20"/>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w:basedOn w:val="1"/>
    <w:qFormat/>
    <w:uiPriority w:val="0"/>
    <w:pPr>
      <w:spacing w:line="312" w:lineRule="auto"/>
    </w:pPr>
    <w:rPr>
      <w:rFonts w:ascii="Arial" w:hAnsi="Arial" w:eastAsia="楷体_GB2312"/>
      <w:spacing w:val="20"/>
      <w:sz w:val="24"/>
      <w:szCs w:val="20"/>
    </w:rPr>
  </w:style>
  <w:style w:type="paragraph" w:styleId="4">
    <w:name w:val="Plain Text"/>
    <w:basedOn w:val="1"/>
    <w:qFormat/>
    <w:uiPriority w:val="0"/>
    <w:rPr>
      <w:rFonts w:ascii="宋体" w:hAnsi="Courier New"/>
      <w:szCs w:val="21"/>
    </w:rPr>
  </w:style>
  <w:style w:type="paragraph" w:styleId="5">
    <w:name w:val="Balloon Text"/>
    <w:basedOn w:val="1"/>
    <w:link w:val="13"/>
    <w:semiHidden/>
    <w:unhideWhenUsed/>
    <w:qFormat/>
    <w:uiPriority w:val="99"/>
    <w:rPr>
      <w:sz w:val="18"/>
      <w:szCs w:val="18"/>
    </w:rPr>
  </w:style>
  <w:style w:type="paragraph" w:styleId="6">
    <w:name w:val="footer"/>
    <w:basedOn w:val="1"/>
    <w:link w:val="12"/>
    <w:unhideWhenUsed/>
    <w:qFormat/>
    <w:uiPriority w:val="99"/>
    <w:pPr>
      <w:tabs>
        <w:tab w:val="center" w:pos="4153"/>
        <w:tab w:val="right" w:pos="8306"/>
      </w:tabs>
      <w:snapToGrid w:val="0"/>
      <w:jc w:val="left"/>
    </w:pPr>
    <w:rPr>
      <w:sz w:val="18"/>
      <w:szCs w:val="18"/>
    </w:rPr>
  </w:style>
  <w:style w:type="paragraph" w:styleId="7">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paragraph" w:customStyle="1" w:styleId="10">
    <w:name w:val="表格文字"/>
    <w:basedOn w:val="1"/>
    <w:qFormat/>
    <w:uiPriority w:val="0"/>
    <w:pPr>
      <w:spacing w:before="25" w:after="25"/>
    </w:pPr>
    <w:rPr>
      <w:bCs/>
      <w:spacing w:val="10"/>
    </w:rPr>
  </w:style>
  <w:style w:type="character" w:customStyle="1" w:styleId="11">
    <w:name w:val="页眉 Char"/>
    <w:basedOn w:val="9"/>
    <w:link w:val="7"/>
    <w:qFormat/>
    <w:uiPriority w:val="99"/>
    <w:rPr>
      <w:rFonts w:ascii="Times New Roman" w:hAnsi="Times New Roman" w:eastAsia="宋体" w:cs="Times New Roman"/>
      <w:sz w:val="18"/>
      <w:szCs w:val="18"/>
    </w:rPr>
  </w:style>
  <w:style w:type="character" w:customStyle="1" w:styleId="12">
    <w:name w:val="页脚 Char"/>
    <w:basedOn w:val="9"/>
    <w:link w:val="6"/>
    <w:qFormat/>
    <w:uiPriority w:val="99"/>
    <w:rPr>
      <w:rFonts w:ascii="Times New Roman" w:hAnsi="Times New Roman" w:eastAsia="宋体" w:cs="Times New Roman"/>
      <w:sz w:val="18"/>
      <w:szCs w:val="18"/>
    </w:rPr>
  </w:style>
  <w:style w:type="character" w:customStyle="1" w:styleId="13">
    <w:name w:val="批注框文本 Char"/>
    <w:basedOn w:val="9"/>
    <w:link w:val="5"/>
    <w:semiHidden/>
    <w:qFormat/>
    <w:uiPriority w:val="99"/>
    <w:rPr>
      <w:rFonts w:ascii="Times New Roman" w:hAnsi="Times New Roman" w:eastAsia="宋体" w:cs="Times New Roman"/>
      <w:sz w:val="18"/>
      <w:szCs w:val="18"/>
    </w:rPr>
  </w:style>
  <w:style w:type="character" w:customStyle="1" w:styleId="14">
    <w:name w:val="Char Char1"/>
    <w:qFormat/>
    <w:locked/>
    <w:uiPriority w:val="0"/>
    <w:rPr>
      <w:rFonts w:hint="eastAsia" w:ascii="宋体" w:hAnsi="Courier New" w:eastAsia="宋体"/>
      <w:kern w:val="2"/>
      <w:sz w:val="21"/>
      <w:lang w:val="en-US" w:eastAsia="zh-CN" w:bidi="ar-SA"/>
    </w:rPr>
  </w:style>
  <w:style w:type="paragraph" w:customStyle="1" w:styleId="15">
    <w:name w:val="_Style 2"/>
    <w:basedOn w:val="1"/>
    <w:qFormat/>
    <w:uiPriority w:val="34"/>
    <w:pPr>
      <w:widowControl/>
      <w:ind w:firstLine="420" w:firstLineChars="200"/>
      <w:jc w:val="left"/>
    </w:pPr>
    <w:rPr>
      <w:kern w:val="0"/>
      <w:sz w:val="20"/>
      <w:lang w:eastAsia="en-US"/>
    </w:rPr>
  </w:style>
  <w:style w:type="paragraph" w:styleId="16">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43C30B4-3874-4EAB-907F-C95F63792998}">
  <ds:schemaRefs/>
</ds:datastoreItem>
</file>

<file path=docProps/app.xml><?xml version="1.0" encoding="utf-8"?>
<Properties xmlns="http://schemas.openxmlformats.org/officeDocument/2006/extended-properties" xmlns:vt="http://schemas.openxmlformats.org/officeDocument/2006/docPropsVTypes">
  <Template>Normal.dotm</Template>
  <Pages>1</Pages>
  <Words>2501</Words>
  <Characters>14261</Characters>
  <Lines>118</Lines>
  <Paragraphs>33</Paragraphs>
  <TotalTime>0</TotalTime>
  <ScaleCrop>false</ScaleCrop>
  <LinksUpToDate>false</LinksUpToDate>
  <CharactersWithSpaces>16729</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2020-07-27T02:13:00Z</dcterms:created>
  <dc:creator>微软用户</dc:creator>
  <cp:lastModifiedBy>wangxianhua</cp:lastModifiedBy>
  <dcterms:modified xsi:type="dcterms:W3CDTF">2021-12-02T15:12:11Z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F90B8605125C46DFBD1ADA302EAA73A7</vt:lpwstr>
  </property>
</Properties>
</file>