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楷体" w:hAnsi="楷体" w:eastAsia="楷体"/>
          <w:bCs/>
          <w:sz w:val="36"/>
          <w:szCs w:val="36"/>
        </w:rPr>
      </w:pPr>
      <w:r>
        <w:rPr>
          <w:rFonts w:hint="eastAsia" w:ascii="楷体" w:hAnsi="楷体" w:eastAsia="楷体"/>
          <w:bCs/>
          <w:sz w:val="36"/>
          <w:szCs w:val="36"/>
        </w:rPr>
        <w:t>管理体系审核记录表</w:t>
      </w:r>
    </w:p>
    <w:tbl>
      <w:tblPr>
        <w:tblStyle w:val="13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>
            <w:pPr>
              <w:spacing w:line="360" w:lineRule="auto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主管领导：</w:t>
            </w:r>
            <w:r>
              <w:rPr>
                <w:rFonts w:hint="eastAsia" w:ascii="黑体" w:hAnsi="黑体" w:eastAsia="黑体" w:cs="黑体"/>
                <w:szCs w:val="21"/>
              </w:rPr>
              <w:t>寇威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陪同人员：</w:t>
            </w:r>
            <w:r>
              <w:rPr>
                <w:rFonts w:hint="eastAsia" w:ascii="黑体" w:hAnsi="黑体" w:eastAsia="黑体" w:cs="黑体"/>
                <w:szCs w:val="21"/>
              </w:rPr>
              <w:t>彭秋香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 w:line="360" w:lineRule="auto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</w:t>
            </w:r>
            <w:r>
              <w:rPr>
                <w:rFonts w:hint="eastAsia" w:cs="Times New Roman"/>
                <w:sz w:val="20"/>
                <w:lang w:val="en-US" w:eastAsia="zh-CN"/>
              </w:rPr>
              <w:t>张磊、</w:t>
            </w:r>
            <w:r>
              <w:rPr>
                <w:sz w:val="20"/>
                <w:lang w:val="de-DE"/>
              </w:rPr>
              <w:t>杨晓举</w:t>
            </w:r>
            <w:r>
              <w:rPr>
                <w:rFonts w:hint="eastAsia"/>
                <w:sz w:val="20"/>
                <w:lang w:val="de-DE"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提供专业支持）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审核时</w:t>
            </w:r>
            <w:r>
              <w:rPr>
                <w:rFonts w:hint="eastAsia" w:ascii="楷体" w:hAnsi="楷体" w:eastAsia="楷体" w:cs="Times New Roman"/>
                <w:sz w:val="24"/>
                <w:szCs w:val="24"/>
              </w:rPr>
              <w:t>间：</w:t>
            </w: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2021.12.04</w:t>
            </w: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>
            <w:pPr>
              <w:adjustRightInd w:val="0"/>
              <w:snapToGrid w:val="0"/>
              <w:spacing w:line="400" w:lineRule="exact"/>
              <w:ind w:right="105" w:rightChars="50"/>
              <w:textAlignment w:val="baseline"/>
              <w:rPr>
                <w:rFonts w:ascii="华文楷体" w:hAnsi="华文楷体" w:eastAsia="华文楷体" w:cs="Arial"/>
                <w:b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审核条款：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</w:p>
          <w:p>
            <w:pPr>
              <w:adjustRightInd w:val="0"/>
              <w:snapToGrid w:val="0"/>
              <w:spacing w:line="400" w:lineRule="exact"/>
              <w:ind w:right="105" w:rightChars="50"/>
              <w:textAlignment w:val="baseline"/>
              <w:rPr>
                <w:rFonts w:hint="eastAsia" w:ascii="华文楷体" w:hAnsi="华文楷体" w:eastAsia="华文楷体" w:cs="Arial"/>
                <w:sz w:val="24"/>
                <w:szCs w:val="24"/>
                <w:lang w:val="de-DE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  <w:lang w:val="de-DE"/>
              </w:rPr>
              <w:t xml:space="preserve">EMS-2015 </w:t>
            </w:r>
          </w:p>
          <w:p>
            <w:pPr>
              <w:adjustRightInd w:val="0"/>
              <w:snapToGrid w:val="0"/>
              <w:spacing w:line="400" w:lineRule="exact"/>
              <w:ind w:right="105" w:rightChars="50"/>
              <w:textAlignment w:val="baseline"/>
              <w:rPr>
                <w:rFonts w:hint="eastAsia"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5.3组织的角色、职责和权限、6.1.2环境因素；6.2目标及其达成的策划；8.1运行策划和控制；8.2应急准备和响应</w:t>
            </w:r>
          </w:p>
          <w:p>
            <w:pPr>
              <w:adjustRightInd w:val="0"/>
              <w:snapToGrid w:val="0"/>
              <w:spacing w:line="400" w:lineRule="exact"/>
              <w:ind w:right="105" w:rightChars="50"/>
              <w:textAlignment w:val="baseline"/>
              <w:rPr>
                <w:rFonts w:hint="eastAsia"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  <w:lang w:val="de-DE"/>
              </w:rPr>
              <w:t>ISO 45001：2018</w:t>
            </w:r>
          </w:p>
          <w:p>
            <w:pPr>
              <w:adjustRightInd w:val="0"/>
              <w:snapToGrid w:val="0"/>
              <w:spacing w:line="400" w:lineRule="exact"/>
              <w:ind w:right="105" w:rightChars="50"/>
              <w:textAlignment w:val="baseline"/>
              <w:rPr>
                <w:rFonts w:ascii="华文楷体" w:hAnsi="华文楷体" w:eastAsia="华文楷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5.3组织的角色、职责和权限；6.1.2危险源辨识和职业安全风险评价；6.2目标及其实现的策划；8.1运行策划和控制；8.2应急准备和响应；</w:t>
            </w: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kern w:val="0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Cs w:val="24"/>
              </w:rPr>
              <w:t>组织的岗位职责和权限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kern w:val="0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Cs w:val="24"/>
                <w:lang w:eastAsia="zh-CN"/>
              </w:rPr>
              <w:t>Q</w:t>
            </w:r>
            <w:r>
              <w:rPr>
                <w:rFonts w:hint="eastAsia" w:ascii="楷体" w:hAnsi="楷体" w:eastAsia="楷体" w:cs="宋体"/>
                <w:kern w:val="0"/>
                <w:szCs w:val="24"/>
                <w:lang w:val="en-US" w:eastAsia="zh-CN"/>
              </w:rPr>
              <w:t>EO</w:t>
            </w:r>
            <w:r>
              <w:rPr>
                <w:rFonts w:hint="eastAsia" w:ascii="楷体" w:hAnsi="楷体" w:eastAsia="楷体" w:cs="宋体"/>
                <w:kern w:val="0"/>
                <w:szCs w:val="24"/>
              </w:rPr>
              <w:t>5.3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  <w:lang w:eastAsia="zh-CN"/>
              </w:rPr>
              <w:t xml:space="preserve">寇威 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部长介绍</w:t>
            </w:r>
            <w:r>
              <w:rPr>
                <w:rFonts w:hint="eastAsia" w:ascii="华文楷体" w:hAnsi="华文楷体" w:eastAsia="华文楷体" w:cs="宋体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>
            <w:pPr>
              <w:spacing w:line="400" w:lineRule="exact"/>
              <w:rPr>
                <w:rFonts w:ascii="华文楷体" w:hAnsi="华文楷体" w:eastAsia="华文楷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4"/>
                <w:szCs w:val="24"/>
              </w:rPr>
              <w:t>与部门负责人沟通，</w:t>
            </w:r>
            <w:r>
              <w:rPr>
                <w:rFonts w:hint="eastAsia" w:ascii="华文楷体" w:hAnsi="华文楷体" w:eastAsia="华文楷体" w:cs="宋体"/>
                <w:kern w:val="0"/>
                <w:sz w:val="24"/>
                <w:szCs w:val="24"/>
                <w:lang w:eastAsia="zh-CN"/>
              </w:rPr>
              <w:t xml:space="preserve">寇威 </w:t>
            </w:r>
            <w:r>
              <w:rPr>
                <w:rFonts w:hint="eastAsia" w:ascii="华文楷体" w:hAnsi="华文楷体" w:eastAsia="华文楷体" w:cs="宋体"/>
                <w:kern w:val="0"/>
                <w:sz w:val="24"/>
                <w:szCs w:val="24"/>
              </w:rPr>
              <w:t>部长了解本部门的职责权限。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Align w:val="top"/>
          </w:tcPr>
          <w:p>
            <w:pPr>
              <w:spacing w:line="360" w:lineRule="auto"/>
              <w:rPr>
                <w:rFonts w:ascii="楷体" w:hAnsi="楷体" w:eastAsia="楷体"/>
                <w:bCs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环境因素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危险源</w:t>
            </w:r>
          </w:p>
        </w:tc>
        <w:tc>
          <w:tcPr>
            <w:tcW w:w="1311" w:type="dxa"/>
            <w:vAlign w:val="top"/>
          </w:tcPr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EO6.1.2</w:t>
            </w:r>
          </w:p>
        </w:tc>
        <w:tc>
          <w:tcPr>
            <w:tcW w:w="10738" w:type="dxa"/>
            <w:vAlign w:val="top"/>
          </w:tcPr>
          <w:p>
            <w:pPr>
              <w:snapToGrid w:val="0"/>
              <w:spacing w:line="400" w:lineRule="exact"/>
              <w:ind w:firstLine="480" w:firstLineChars="20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现场提供了《环境因素识别与评价程序》、《危险源辨识、风险和机遇评价管理程序》，对环境因素、危险源的识别、评价结果、控制手段等做出了规定。</w:t>
            </w:r>
          </w:p>
          <w:p>
            <w:pPr>
              <w:snapToGrid w:val="0"/>
              <w:spacing w:line="400" w:lineRule="exac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负责本部门的环境因素、危险源的识别、评价和控制。</w:t>
            </w:r>
          </w:p>
          <w:p>
            <w:pPr>
              <w:spacing w:line="400" w:lineRule="exact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　　部门负责人介绍了对环境因素、危险源进行了辨识，考虑了三种时态，过去、现在和将来，三种状态，正常、异常和紧急，按照办公过程及检验工作过程等进行了辨识</w:t>
            </w:r>
          </w:p>
          <w:p>
            <w:pPr>
              <w:snapToGrid w:val="0"/>
              <w:spacing w:line="400" w:lineRule="exact"/>
              <w:ind w:right="392" w:firstLine="480" w:firstLineChars="200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查《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环境因素识别评价表》，对本部门办公和检验等有关过程的环境因素。分别识别了日常办公过程中的固废（废电池、灯管、墨盒、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val="en-US" w:eastAsia="zh-CN"/>
              </w:rPr>
              <w:t>实验产生的废弃原物料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）造成的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val="en-US" w:eastAsia="zh-CN"/>
              </w:rPr>
              <w:t>固体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污染、水资源利用（拖地、厕所用水）的水资源消耗、照明、空调、办公设施等电能消耗、意外火灾引起的污染大气、污染地面、资源消耗、检验产品批量不合格造成的资源消耗等环境因素。</w:t>
            </w:r>
          </w:p>
          <w:p>
            <w:pPr>
              <w:snapToGrid w:val="0"/>
              <w:spacing w:line="400" w:lineRule="exact"/>
              <w:ind w:right="392" w:firstLine="480" w:firstLineChars="200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查到：《重要环境因素清单》，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涉及重要环境因素：固体废弃物、火灾事故的发生。</w:t>
            </w:r>
          </w:p>
          <w:p>
            <w:pPr>
              <w:snapToGrid w:val="0"/>
              <w:spacing w:line="400" w:lineRule="exact"/>
              <w:ind w:right="392" w:firstLine="480" w:firstLineChars="200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查《危险源辨识及风险评价表》，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部门：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，识别了办公过程中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垃圾不理不及时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可能导致的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val="en-US" w:eastAsia="zh-CN"/>
              </w:rPr>
              <w:t>环境污染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、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人离开未断电源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可能导致</w:t>
            </w:r>
            <w:bookmarkStart w:id="0" w:name="_GoBack"/>
            <w:bookmarkEnd w:id="0"/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的的火灾、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违规试验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可能导致的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人身伤害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等危险源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。</w:t>
            </w:r>
          </w:p>
          <w:p>
            <w:pPr>
              <w:snapToGrid w:val="0"/>
              <w:spacing w:line="400" w:lineRule="exact"/>
              <w:ind w:right="392" w:firstLine="480" w:firstLineChars="200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查到：《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重 要 风 险 危 险 源 清 单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》，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涉及的不可接受风险：触电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火灾。</w:t>
            </w:r>
          </w:p>
          <w:p>
            <w:pPr>
              <w:snapToGrid w:val="0"/>
              <w:spacing w:line="400" w:lineRule="exact"/>
              <w:ind w:right="392" w:firstLine="480" w:firstLineChars="200"/>
              <w:rPr>
                <w:rFonts w:ascii="华文楷体" w:hAnsi="华文楷体" w:eastAsia="华文楷体" w:cs="宋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TW"/>
              </w:rPr>
              <w:t>对于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环境因素、重要环境因素及危险源、不可接受风险等通过运行控制、管理方案、应急准备与响应进行控制。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华文楷体" w:hAnsi="华文楷体" w:eastAsia="华文楷体" w:cs="宋体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sz w:val="24"/>
                <w:szCs w:val="24"/>
                <w:lang w:eastAsia="zh-CN"/>
              </w:rPr>
              <w:t>质量部</w:t>
            </w:r>
            <w:r>
              <w:rPr>
                <w:rFonts w:hint="eastAsia" w:ascii="华文楷体" w:hAnsi="华文楷体" w:eastAsia="华文楷体" w:cs="宋体"/>
                <w:sz w:val="24"/>
                <w:szCs w:val="24"/>
              </w:rPr>
              <w:t>环境因素、危险的识别、评价基本符合标准要求。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Cs w:val="24"/>
              </w:rPr>
              <w:t>目标及其实现的策划总要求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Cs w:val="24"/>
                <w:lang w:eastAsia="zh-CN"/>
              </w:rPr>
              <w:t>Q</w:t>
            </w:r>
            <w:r>
              <w:rPr>
                <w:rFonts w:hint="eastAsia" w:ascii="楷体" w:hAnsi="楷体" w:eastAsia="楷体" w:cs="宋体"/>
                <w:kern w:val="0"/>
                <w:szCs w:val="24"/>
                <w:lang w:val="en-US" w:eastAsia="zh-CN"/>
              </w:rPr>
              <w:t>EO</w:t>
            </w:r>
            <w:r>
              <w:rPr>
                <w:rFonts w:hint="eastAsia" w:ascii="楷体" w:hAnsi="楷体" w:eastAsia="楷体" w:cs="宋体"/>
                <w:kern w:val="0"/>
                <w:szCs w:val="24"/>
              </w:rPr>
              <w:t>6.2</w:t>
            </w:r>
          </w:p>
        </w:tc>
        <w:tc>
          <w:tcPr>
            <w:tcW w:w="10738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本部门的目标有:</w:t>
            </w:r>
          </w:p>
          <w:tbl>
            <w:tblPr>
              <w:tblStyle w:val="13"/>
              <w:tblpPr w:leftFromText="180" w:rightFromText="180" w:vertAnchor="text" w:horzAnchor="page" w:tblpX="83" w:tblpY="466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62"/>
              <w:gridCol w:w="4432"/>
              <w:gridCol w:w="16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31" w:hRule="atLeast"/>
              </w:trPr>
              <w:tc>
                <w:tcPr>
                  <w:tcW w:w="3662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6"/>
                    <w:spacing w:before="80" w:beforeLines="20" w:after="80" w:afterLines="20" w:line="320" w:lineRule="exact"/>
                    <w:ind w:left="0"/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  <w:t>分目标</w:t>
                  </w:r>
                </w:p>
              </w:tc>
              <w:tc>
                <w:tcPr>
                  <w:tcW w:w="4432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6"/>
                    <w:spacing w:before="80" w:beforeLines="20" w:after="80" w:afterLines="20" w:line="320" w:lineRule="exact"/>
                    <w:ind w:left="0"/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  <w:t>考核方法</w:t>
                  </w:r>
                </w:p>
              </w:tc>
              <w:tc>
                <w:tcPr>
                  <w:tcW w:w="1684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6"/>
                    <w:spacing w:before="80" w:beforeLines="20" w:after="80" w:afterLines="20" w:line="320" w:lineRule="exact"/>
                    <w:ind w:left="0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  <w:t>考核结果7-9月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 xml:space="preserve"> 产品抽检合格率≥98%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合格率＝抽检合格数÷抽检总数×100%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98%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2.监视测量设备校准率100%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校准率＝校准设备数÷设备总数×100%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3.产品检测率</w:t>
                  </w: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检测率＝检测数÷计划送检数×100%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6"/>
                    <w:spacing w:before="60" w:beforeLines="15" w:after="60" w:afterLines="15" w:line="0" w:lineRule="atLeast"/>
                    <w:ind w:left="0" w:leftChars="0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4．数据分析准确率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6"/>
                    <w:spacing w:before="60" w:beforeLines="15" w:after="60" w:afterLines="15" w:line="0" w:lineRule="atLeast"/>
                    <w:ind w:left="0" w:leftChars="0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准确率</w:t>
                  </w: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分析准确数/总数</w:t>
                  </w: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before="60" w:beforeLines="15" w:after="60" w:afterLines="15" w:line="0" w:lineRule="atLeast"/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5．成品一次性交验合格率≥95%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合格率＝交验合格数÷交验总数×100%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98%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黑体" w:eastAsia="黑体" w:cs="黑体"/>
                      <w:color w:val="000000"/>
                      <w:sz w:val="24"/>
                      <w:szCs w:val="24"/>
                    </w:rPr>
                    <w:t>6.</w:t>
                  </w: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文件发放及时率100%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及时率＝发放及时数÷文件总发放数×100%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黑体" w:eastAsia="黑体" w:cs="黑体"/>
                      <w:color w:val="000000"/>
                      <w:sz w:val="24"/>
                      <w:szCs w:val="24"/>
                    </w:rPr>
                    <w:t>7</w:t>
                  </w: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.有效文件受控率100%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受控率＝受控数量÷有效文件数×100%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黑体" w:eastAsia="黑体" w:cs="黑体"/>
                      <w:sz w:val="24"/>
                      <w:szCs w:val="24"/>
                    </w:rPr>
                    <w:t>8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.法律法规每年更新1次，合规性评价执行率100%；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检查是否执行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已更新、执行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黑体" w:eastAsia="黑体" w:cs="黑体"/>
                      <w:sz w:val="24"/>
                      <w:szCs w:val="24"/>
                    </w:rPr>
                    <w:t>9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.各类废弃物按规定分类处置率100%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处置率=检查合格次数/总次数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1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新宋体" w:eastAsia="黑体"/>
                      <w:color w:val="000000"/>
                      <w:sz w:val="24"/>
                      <w:szCs w:val="21"/>
                    </w:rPr>
                    <w:t>10</w:t>
                  </w:r>
                  <w:r>
                    <w:rPr>
                      <w:rFonts w:hint="eastAsia" w:ascii="黑体" w:hAnsi="新宋体" w:eastAsia="黑体"/>
                      <w:color w:val="000000"/>
                      <w:sz w:val="24"/>
                      <w:szCs w:val="21"/>
                    </w:rPr>
                    <w:t>.火灾事故生率为0；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考核期内统计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87" w:hRule="atLeast"/>
              </w:trPr>
              <w:tc>
                <w:tcPr>
                  <w:tcW w:w="36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ascii="黑体" w:hAnsi="新宋体" w:eastAsia="黑体"/>
                      <w:color w:val="000000"/>
                      <w:sz w:val="24"/>
                      <w:szCs w:val="24"/>
                    </w:rPr>
                    <w:t>11</w:t>
                  </w:r>
                  <w:r>
                    <w:rPr>
                      <w:rFonts w:hint="eastAsia" w:ascii="黑体" w:hAnsi="新宋体" w:eastAsia="黑体"/>
                      <w:color w:val="000000"/>
                      <w:sz w:val="24"/>
                      <w:szCs w:val="24"/>
                    </w:rPr>
                    <w:t>.重大安全事故发生率为0</w:t>
                  </w:r>
                </w:p>
              </w:tc>
              <w:tc>
                <w:tcPr>
                  <w:tcW w:w="44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考核期内统计</w:t>
                  </w:r>
                </w:p>
              </w:tc>
              <w:tc>
                <w:tcPr>
                  <w:tcW w:w="16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楷体" w:hAnsi="楷体" w:eastAsia="楷体" w:cs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</w:rPr>
                    <w:t>0</w:t>
                  </w:r>
                </w:p>
              </w:tc>
            </w:tr>
          </w:tbl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部门分解目标与公司方针一致，可测量，并传达到部门相关人员，必要时适时更新，目前无变化。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提供《2021年度QEO目标分解及考核结果》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《安全目标、指标及管理方案》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《环境目标、指标及管理方案》，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val="en-US" w:eastAsia="zh-CN"/>
              </w:rPr>
              <w:t>统计时间：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21年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月至21年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 xml:space="preserve">月 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完成情况：以上各产品标均已达成。</w:t>
            </w:r>
          </w:p>
          <w:p>
            <w:pPr>
              <w:spacing w:line="360" w:lineRule="auto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时间表：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  <w:lang w:val="en-US" w:eastAsia="zh-CN"/>
              </w:rPr>
              <w:t>查《管理方案完成情况检查表》，</w:t>
            </w: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自管理体系运行以来持续进行，已按管理方案要求实施。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bCs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Cs w:val="24"/>
              </w:rPr>
              <w:t>监视和测量资源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bCs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Cs w:val="24"/>
              </w:rPr>
              <w:t>Q7.1.5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szCs w:val="24"/>
              </w:rPr>
            </w:pPr>
          </w:p>
        </w:tc>
        <w:tc>
          <w:tcPr>
            <w:tcW w:w="10738" w:type="dxa"/>
          </w:tcPr>
          <w:p>
            <w:pPr>
              <w:spacing w:line="40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公司提供《</w:t>
            </w:r>
            <w:r>
              <w:rPr>
                <w:rFonts w:hint="eastAsia"/>
                <w:lang w:val="en-US" w:eastAsia="zh-CN"/>
              </w:rPr>
              <w:t>检测设备管理总</w:t>
            </w:r>
            <w:r>
              <w:rPr>
                <w:rFonts w:hint="eastAsia"/>
              </w:rPr>
              <w:t>台帐》</w:t>
            </w:r>
            <w:r>
              <w:rPr>
                <w:rFonts w:hint="eastAsia"/>
                <w:lang w:val="en-US" w:eastAsia="zh-CN"/>
              </w:rPr>
              <w:t>和《检测设备检定、校准计划表》</w:t>
            </w:r>
            <w:r>
              <w:rPr>
                <w:rFonts w:hint="eastAsia"/>
              </w:rPr>
              <w:t>，主要有</w:t>
            </w:r>
            <w:r>
              <w:rPr>
                <w:rFonts w:hint="eastAsia"/>
                <w:lang w:val="en-US" w:eastAsia="zh-CN"/>
              </w:rPr>
              <w:t>外径千分尺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 w:eastAsia="zh-CN"/>
              </w:rPr>
              <w:t>纸张撕裂度测试仪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 w:eastAsia="zh-CN"/>
              </w:rPr>
              <w:t>全自动耐破强度测试仪、电子拉力实验机</w:t>
            </w:r>
            <w:r>
              <w:rPr>
                <w:rFonts w:hint="eastAsia"/>
              </w:rPr>
              <w:t>等监视和测量设备，规定检定/校准周期为1年。</w:t>
            </w:r>
          </w:p>
          <w:p>
            <w:pPr>
              <w:bidi w:val="0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● </w:t>
            </w:r>
            <w:r>
              <w:rPr>
                <w:rFonts w:hint="eastAsia" w:ascii="Times New Roman" w:hAnsi="Times New Roman" w:eastAsia="宋体" w:cs="Times New Roman"/>
              </w:rPr>
              <w:t>检测设备配置能满足产品检测需求。</w:t>
            </w:r>
          </w:p>
          <w:p>
            <w:pPr>
              <w:bidi w:val="0"/>
              <w:rPr>
                <w:rFonts w:hint="default" w:ascii="楷体" w:hAnsi="楷体" w:eastAsia="楷体" w:cs="楷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● 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企业对计量器具进行了送检，详见扫描件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该公司生产部负责监视和测量设备的管理。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lang w:val="en-US" w:eastAsia="zh-CN" w:bidi="ar-SA"/>
              </w:rPr>
              <w:t>使用过程中没有发生检测设备偏离校准状态现象。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/>
                <w:bCs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bCs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Cs w:val="24"/>
              </w:rPr>
              <w:t>Q8.6</w:t>
            </w:r>
          </w:p>
          <w:p>
            <w:pPr>
              <w:spacing w:line="360" w:lineRule="auto"/>
              <w:rPr>
                <w:rFonts w:ascii="楷体" w:hAnsi="楷体" w:eastAsia="楷体" w:cs="宋体"/>
                <w:szCs w:val="24"/>
              </w:rPr>
            </w:pPr>
          </w:p>
        </w:tc>
        <w:tc>
          <w:tcPr>
            <w:tcW w:w="10738" w:type="dxa"/>
          </w:tcPr>
          <w:p>
            <w:pPr>
              <w:spacing w:line="400" w:lineRule="exact"/>
              <w:ind w:firstLine="360" w:firstLineChars="15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公司规定并对原材料、过程产品、成品实施检验。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252"/>
                <w:tab w:val="left" w:pos="432"/>
                <w:tab w:val="clear" w:pos="405"/>
              </w:tabs>
              <w:spacing w:line="400" w:lineRule="exac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进货检验：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查到202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8从昆山运城塑业有限公司采购白手纸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原材料验收记录，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进货数量：24000m，规格型号：300</w:t>
            </w:r>
            <w:r>
              <w:rPr>
                <w:rFonts w:hint="default" w:ascii="Arial" w:hAnsi="Arial" w:eastAsia="华文楷体" w:cs="Arial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320，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对外观、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供应商提供的合格证据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规格尺寸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数量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进行了检验，检验结果合格，检验员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寇威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查到202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日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从昆山运城塑业有限公司有限公司采购防油纸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原材料验收记录，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进货数量：10000m规格型号：480</w:t>
            </w:r>
            <w:r>
              <w:rPr>
                <w:rFonts w:hint="default" w:ascii="Arial" w:hAnsi="Arial" w:eastAsia="华文楷体" w:cs="Arial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40，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对外观、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供应商提供的合格证据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规格尺寸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数量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进行了检验，检验结果合格，检验员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寇威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查到202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日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从</w:t>
            </w:r>
            <w:r>
              <w:rPr>
                <w:rFonts w:hint="eastAsia" w:ascii="华文楷体" w:hAnsi="华文楷体" w:eastAsia="华文楷体"/>
                <w:color w:val="auto"/>
                <w:sz w:val="24"/>
                <w:szCs w:val="24"/>
                <w:lang w:val="en-US" w:eastAsia="zh-CN"/>
              </w:rPr>
              <w:t>浙江远大塑胶有限公司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采购PP膜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原材料验收记录，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进货数量：24000m，规格型号：300</w:t>
            </w:r>
            <w:r>
              <w:rPr>
                <w:rFonts w:hint="default" w:ascii="Arial" w:hAnsi="Arial" w:eastAsia="华文楷体" w:cs="Arial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30，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对外观、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供应商提供的合格证据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规格尺寸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数量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进行了检验，检验结果合格，检验员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寇威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查到202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.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日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从浙江远大塑胶有限公司采购CPP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原材料验收记录，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进货数量：24000m，规格型号：300</w:t>
            </w:r>
            <w:r>
              <w:rPr>
                <w:rFonts w:hint="default" w:ascii="Arial" w:hAnsi="Arial" w:eastAsia="华文楷体" w:cs="Arial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30，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对外观、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供应商提供的合格证据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规格尺寸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数量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进行了检验，检验结果合格，检验员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寇威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。</w:t>
            </w:r>
          </w:p>
          <w:p>
            <w:pPr>
              <w:spacing w:line="400" w:lineRule="exac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未发生在供方处进行验证的情况，采购产品验证符合标准要求。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过程检验：检验依据：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检验员依据检验规范和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  <w:lang w:val="en-US" w:eastAsia="zh-CN"/>
              </w:rPr>
              <w:t>技术要求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进行检验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依据产品工艺流程，查看企业《关键控制点记录表》，详见生产部Q8.5.1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生产过程得到有效的监控，查看2021年10月23日《垫盘纸时代龙版生产批记录》和2021年11月10日《玫瑰枫糖吐司袋批生产记录》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70885" cy="4810125"/>
                  <wp:effectExtent l="0" t="0" r="5715" b="3175"/>
                  <wp:docPr id="8" name="图片 8" descr="24b94e98bfb6225564da6c16082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b94e98bfb6225564da6c160828b0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48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790575</wp:posOffset>
                  </wp:positionV>
                  <wp:extent cx="4717415" cy="3208020"/>
                  <wp:effectExtent l="0" t="0" r="5080" b="6985"/>
                  <wp:wrapNone/>
                  <wp:docPr id="9" name="图片 9" descr="a58b77028205105d0714fad13938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8b77028205105d0714fad13938e6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17415" cy="32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hint="eastAsia"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成品检验：检验依据成品检验规范、图纸、国标，</w:t>
            </w:r>
          </w:p>
          <w:p>
            <w:pPr>
              <w:spacing w:line="400" w:lineRule="exact"/>
              <w:ind w:left="34" w:firstLine="480" w:firstLineChars="200"/>
              <w:rPr>
                <w:rFonts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提供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  <w:lang w:val="en-US" w:eastAsia="zh-CN"/>
              </w:rPr>
              <w:t>首件检验记录》和《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成品检验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  <w:lang w:val="en-US" w:eastAsia="zh-CN"/>
              </w:rPr>
              <w:t>记录表》</w:t>
            </w:r>
          </w:p>
          <w:p>
            <w:pPr>
              <w:pStyle w:val="2"/>
              <w:rPr>
                <w:rFonts w:hint="eastAsia" w:ascii="华文楷体" w:hAnsi="华文楷体" w:eastAsia="华文楷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-876935</wp:posOffset>
                  </wp:positionV>
                  <wp:extent cx="4396105" cy="6464935"/>
                  <wp:effectExtent l="0" t="0" r="12065" b="10795"/>
                  <wp:wrapNone/>
                  <wp:docPr id="10" name="图片 10" descr="70ed4d2d1e9a7c428edac537dcd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0ed4d2d1e9a7c428edac537dcd57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96105" cy="646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677025" cy="4540250"/>
                  <wp:effectExtent l="0" t="0" r="3175" b="6350"/>
                  <wp:docPr id="11" name="图片 11" descr="5632488d657d235044d8a76c368b9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632488d657d235044d8a76c368b95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45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-784225</wp:posOffset>
                  </wp:positionV>
                  <wp:extent cx="4467225" cy="6570345"/>
                  <wp:effectExtent l="0" t="0" r="8255" b="3175"/>
                  <wp:wrapNone/>
                  <wp:docPr id="13" name="图片 13" descr="237841fb29443cb9b59a6b45bd94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37841fb29443cb9b59a6b45bd94f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67225" cy="657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677025" cy="4540250"/>
                  <wp:effectExtent l="0" t="0" r="3175" b="6350"/>
                  <wp:docPr id="12" name="图片 12" descr="7d3afddf447b8c7696e5f6a11363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d3afddf447b8c7696e5f6a113633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45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248660" cy="4777740"/>
                  <wp:effectExtent l="0" t="0" r="2540" b="10160"/>
                  <wp:docPr id="14" name="图片 14" descr="ede4ec8a7e137cd2c86066dff316d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de4ec8a7e137cd2c86066dff316d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326130" cy="4892040"/>
                  <wp:effectExtent l="0" t="0" r="1270" b="10160"/>
                  <wp:docPr id="15" name="图片 15" descr="8a719a3f1ab6d273b10c3e0977e8a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a719a3f1ab6d273b10c3e0977e8a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48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both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eastAsia" w:eastAsia="华文楷体"/>
                <w:lang w:eastAsia="zh-CN"/>
              </w:rPr>
            </w:pPr>
          </w:p>
          <w:p>
            <w:pPr>
              <w:pStyle w:val="2"/>
              <w:rPr>
                <w:rFonts w:hint="eastAsia" w:eastAsia="华文楷体"/>
                <w:lang w:eastAsia="zh-CN"/>
              </w:rPr>
            </w:pPr>
          </w:p>
          <w:p>
            <w:pPr>
              <w:pStyle w:val="2"/>
              <w:rPr>
                <w:rFonts w:hint="default" w:eastAsia="华文楷体"/>
                <w:lang w:val="en-US" w:eastAsia="zh-CN"/>
              </w:rPr>
            </w:pPr>
            <w:r>
              <w:rPr>
                <w:rFonts w:hint="eastAsia" w:eastAsia="华文楷体"/>
                <w:lang w:val="en-US" w:eastAsia="zh-CN"/>
              </w:rPr>
              <w:t>企业对产品进行了第三方检测，详见提交检测报告附件。</w:t>
            </w:r>
          </w:p>
          <w:p>
            <w:pPr>
              <w:pStyle w:val="27"/>
              <w:ind w:left="0" w:firstLine="482"/>
              <w:rPr>
                <w:rFonts w:ascii="华文楷体" w:hAnsi="华文楷体" w:eastAsia="华文楷体"/>
                <w:szCs w:val="24"/>
              </w:rPr>
            </w:pPr>
            <w:r>
              <w:rPr>
                <w:rFonts w:hint="eastAsia" w:ascii="华文楷体" w:hAnsi="华文楷体" w:eastAsia="华文楷体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>
            <w:pPr>
              <w:spacing w:line="400" w:lineRule="exact"/>
              <w:ind w:firstLine="360" w:firstLineChars="150"/>
              <w:rPr>
                <w:rFonts w:ascii="华文楷体" w:hAnsi="华文楷体" w:eastAsia="华文楷体" w:cs="Arial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bCs/>
                <w:color w:val="auto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color w:val="auto"/>
                <w:szCs w:val="24"/>
              </w:rPr>
              <w:t>不合格品控制</w:t>
            </w:r>
          </w:p>
          <w:p>
            <w:pPr>
              <w:spacing w:line="360" w:lineRule="auto"/>
              <w:rPr>
                <w:rFonts w:ascii="楷体" w:hAnsi="楷体" w:eastAsia="楷体"/>
                <w:bCs/>
                <w:color w:val="auto"/>
                <w:szCs w:val="24"/>
              </w:rPr>
            </w:pP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bCs/>
                <w:color w:val="auto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color w:val="auto"/>
                <w:szCs w:val="24"/>
              </w:rPr>
              <w:t>Q8.7</w:t>
            </w:r>
          </w:p>
          <w:p>
            <w:pPr>
              <w:spacing w:line="360" w:lineRule="auto"/>
              <w:rPr>
                <w:rFonts w:ascii="楷体" w:hAnsi="楷体" w:eastAsia="楷体" w:cs="宋体"/>
                <w:color w:val="auto"/>
                <w:szCs w:val="24"/>
              </w:rPr>
            </w:pPr>
          </w:p>
        </w:tc>
        <w:tc>
          <w:tcPr>
            <w:tcW w:w="10738" w:type="dxa"/>
          </w:tcPr>
          <w:p>
            <w:pPr>
              <w:tabs>
                <w:tab w:val="left" w:pos="1600"/>
              </w:tabs>
              <w:spacing w:line="400" w:lineRule="exact"/>
              <w:ind w:firstLine="420" w:firstLineChars="200"/>
            </w:pPr>
            <w:r>
              <w:rPr>
                <w:rFonts w:hint="eastAsia"/>
              </w:rPr>
              <w:t xml:space="preserve">公司制定并执行了《不合格输出控制程序》，文件对不合格品的控制方法作出了规定，基本符合标准要求。 </w:t>
            </w:r>
          </w:p>
          <w:p>
            <w:pPr>
              <w:spacing w:line="400" w:lineRule="exact"/>
              <w:ind w:firstLine="420" w:firstLineChars="200"/>
            </w:pPr>
            <w:r>
              <w:rPr>
                <w:rFonts w:hint="eastAsia"/>
              </w:rPr>
              <w:t>采购验证时发现的不合格品采取直接退换货的方式。</w:t>
            </w:r>
          </w:p>
          <w:p>
            <w:pPr>
              <w:spacing w:line="400" w:lineRule="exact"/>
              <w:ind w:firstLine="420" w:firstLineChars="200"/>
            </w:pPr>
            <w:r>
              <w:rPr>
                <w:rFonts w:hint="eastAsia"/>
              </w:rPr>
              <w:t>生产过程中及产成品发现的不合格品及时进行了返工/返修，合格后放行到下个工序。</w:t>
            </w:r>
          </w:p>
          <w:p>
            <w:pPr>
              <w:spacing w:line="40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交付后产生的不符合，采取直接退换货处理，。</w:t>
            </w: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组织的不合格品控制基本有效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Cs w:val="24"/>
              </w:rPr>
            </w:pPr>
            <w:r>
              <w:rPr>
                <w:rFonts w:hint="eastAsia" w:ascii="楷体" w:hAnsi="楷体" w:eastAsia="楷体"/>
                <w:bCs/>
                <w:szCs w:val="24"/>
              </w:rPr>
              <w:t>EO8.1</w:t>
            </w:r>
          </w:p>
        </w:tc>
        <w:tc>
          <w:tcPr>
            <w:tcW w:w="10738" w:type="dxa"/>
          </w:tcPr>
          <w:p>
            <w:pPr>
              <w:autoSpaceDE w:val="0"/>
              <w:autoSpaceDN w:val="0"/>
              <w:spacing w:line="400" w:lineRule="exact"/>
              <w:ind w:firstLine="480" w:firstLineChars="200"/>
              <w:rPr>
                <w:rFonts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编制了</w:t>
            </w:r>
            <w:r>
              <w:rPr>
                <w:rFonts w:hint="eastAsia" w:ascii="华文楷体" w:hAnsi="华文楷体" w:eastAsia="华文楷体" w:cs="Arial"/>
                <w:sz w:val="24"/>
                <w:szCs w:val="24"/>
              </w:rPr>
              <w:t>《职业健康安全运行控制程序》《环境安全监视和测量控制程序》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等。</w:t>
            </w:r>
          </w:p>
          <w:p>
            <w:pPr>
              <w:spacing w:line="400" w:lineRule="exact"/>
              <w:ind w:firstLine="393" w:firstLineChars="164"/>
              <w:rPr>
                <w:rFonts w:ascii="华文楷体" w:hAnsi="华文楷体" w:eastAsia="华文楷体" w:cs="楷体"/>
                <w:bCs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 xml:space="preserve"> 1.</w:t>
            </w:r>
            <w:r>
              <w:rPr>
                <w:rFonts w:hint="eastAsia" w:ascii="华文楷体" w:hAnsi="华文楷体" w:eastAsia="华文楷体" w:cs="楷体"/>
                <w:bCs/>
                <w:sz w:val="24"/>
                <w:szCs w:val="24"/>
              </w:rPr>
              <w:t>主要是加强防火管理，防止火灾事故的发生，现场未发现火灾隐患。</w:t>
            </w:r>
          </w:p>
          <w:p>
            <w:pPr>
              <w:autoSpaceDE w:val="0"/>
              <w:autoSpaceDN w:val="0"/>
              <w:adjustRightInd w:val="0"/>
              <w:spacing w:line="400" w:lineRule="exact"/>
              <w:ind w:firstLine="480" w:firstLineChars="200"/>
              <w:rPr>
                <w:rFonts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2.检验过程中使用的水电纸等资源，要求检验人员尽量做到节约用电、用水、用纸、尽量使用双面纸。</w:t>
            </w:r>
          </w:p>
          <w:p>
            <w:pPr>
              <w:autoSpaceDE w:val="0"/>
              <w:autoSpaceDN w:val="0"/>
              <w:spacing w:line="400" w:lineRule="exact"/>
              <w:ind w:firstLine="480" w:firstLineChars="200"/>
              <w:rPr>
                <w:rFonts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3.办公用固体废弃物（如打印机、复印机墨水盒、墨粉盒、色带、硒鼓等）的处理：日常分类收集，最终由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  <w:lang w:eastAsia="zh-CN"/>
              </w:rPr>
              <w:t>行政部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统一收集，交与供方回收。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4.定期检查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  <w:lang w:eastAsia="zh-CN"/>
              </w:rPr>
              <w:t>行政部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电线、开关的安全性。</w:t>
            </w:r>
          </w:p>
          <w:p>
            <w:pPr>
              <w:spacing w:line="400" w:lineRule="exact"/>
              <w:ind w:right="-6" w:rightChars="-3" w:firstLine="480" w:firstLineChars="200"/>
              <w:rPr>
                <w:rFonts w:hint="eastAsia"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bCs/>
                <w:sz w:val="24"/>
                <w:szCs w:val="24"/>
              </w:rPr>
              <w:t>5.检验员到现场检验时穿戴劳保用品，</w:t>
            </w: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遵守公司的各项环境和职业健康与安全管理制度。</w:t>
            </w:r>
          </w:p>
          <w:p>
            <w:pPr>
              <w:spacing w:line="400" w:lineRule="exact"/>
              <w:ind w:right="-6" w:rightChars="-3" w:firstLine="480" w:firstLineChars="200"/>
              <w:rPr>
                <w:rFonts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6.使用电子仪器检验时先检查电器的安全性，操作检验设备时注意不碰伤、压伤。</w:t>
            </w:r>
          </w:p>
          <w:p>
            <w:pPr>
              <w:spacing w:line="400" w:lineRule="exact"/>
              <w:ind w:firstLine="421"/>
              <w:rPr>
                <w:rFonts w:hint="eastAsia" w:ascii="华文楷体" w:hAnsi="华文楷体" w:eastAsia="华文楷体" w:cs="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7.试验样品回用，不排放，检验时发现的废品由生产技术部统一处理。</w:t>
            </w:r>
          </w:p>
          <w:p>
            <w:pPr>
              <w:spacing w:line="400" w:lineRule="exact"/>
              <w:ind w:firstLine="421"/>
              <w:rPr>
                <w:rFonts w:ascii="华文楷体" w:hAnsi="华文楷体" w:eastAsia="华文楷体" w:cs="宋体"/>
                <w:b/>
                <w:bCs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楷体"/>
                <w:sz w:val="24"/>
                <w:szCs w:val="24"/>
              </w:rPr>
              <w:t>部门运行控制基本符合要求，待疫情结束后进一步现场观察审核。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color w:val="FF0000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FF0000"/>
                <w:szCs w:val="24"/>
              </w:rPr>
              <w:t>应急准备和相应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/>
                <w:bCs/>
                <w:color w:val="FF0000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FF0000"/>
                <w:szCs w:val="24"/>
              </w:rPr>
              <w:t>EO8.2</w:t>
            </w:r>
          </w:p>
        </w:tc>
        <w:tc>
          <w:tcPr>
            <w:tcW w:w="10738" w:type="dxa"/>
          </w:tcPr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按照策划的《应急准备和响应控制程序程序》《火灾应急预案》等，明确了相应的运行准则。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现场审核时现场查看车间门口灭火器在有效期内</w:t>
            </w: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 xml:space="preserve"> 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生产现场有“禁止吸烟”，“小心触电” 等环保、安全警示标识。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配有急救药箱，箱内有创可贴、消毒酒精、碘伏、棉棒等。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</w:rPr>
              <w:t>查</w:t>
            </w: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  <w:lang w:eastAsia="zh-CN"/>
              </w:rPr>
              <w:t>行政部</w:t>
            </w: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</w:rPr>
              <w:t>组织的火灾预案演练，提供了相关记录</w:t>
            </w: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  <w:lang w:val="en-US" w:eastAsia="zh-CN"/>
              </w:rPr>
              <w:t>详见行政部EO8.2审核记录</w:t>
            </w:r>
            <w:r>
              <w:rPr>
                <w:rFonts w:hint="eastAsia" w:ascii="华文楷体" w:hAnsi="华文楷体" w:eastAsia="华文楷体"/>
                <w:color w:val="FF0000"/>
                <w:sz w:val="24"/>
                <w:szCs w:val="24"/>
              </w:rPr>
              <w:t>。</w:t>
            </w:r>
          </w:p>
          <w:p>
            <w:pPr>
              <w:spacing w:line="400" w:lineRule="exact"/>
              <w:ind w:firstLine="480" w:firstLineChars="200"/>
              <w:rPr>
                <w:rFonts w:ascii="华文楷体" w:hAnsi="华文楷体" w:eastAsia="华文楷体" w:cs="宋体"/>
                <w:color w:val="FF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color w:val="FF0000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楷体" w:hAnsi="楷体" w:eastAsia="楷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FF0000"/>
                <w:sz w:val="24"/>
                <w:szCs w:val="24"/>
                <w:lang w:val="en-US" w:eastAsia="zh-CN"/>
              </w:rPr>
              <w:t>合格</w:t>
            </w:r>
          </w:p>
        </w:tc>
      </w:tr>
    </w:tbl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rPr>
          <w:rFonts w:ascii="楷体" w:hAnsi="楷体" w:eastAsia="楷体"/>
        </w:rPr>
      </w:pPr>
    </w:p>
    <w:p>
      <w:pPr>
        <w:pStyle w:val="1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9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9"/>
        <w:rFonts w:hint="default"/>
      </w:rPr>
      <w:t>北京国标联合认证有限公司</w:t>
    </w:r>
    <w:r>
      <w:rPr>
        <w:rStyle w:val="19"/>
        <w:rFonts w:hint="default"/>
      </w:rPr>
      <w:tab/>
    </w:r>
    <w:r>
      <w:rPr>
        <w:rStyle w:val="19"/>
        <w:rFonts w:hint="default"/>
      </w:rPr>
      <w:tab/>
    </w:r>
    <w:r>
      <w:rPr>
        <w:rStyle w:val="19"/>
        <w:rFonts w:hint="default"/>
      </w:rPr>
      <w:tab/>
    </w:r>
  </w:p>
  <w:p>
    <w:pPr>
      <w:pStyle w:val="11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ISC-B-II-31 管理体系审核记录表(03版)</w:t>
                </w:r>
              </w:p>
            </w:txbxContent>
          </v:textbox>
        </v:shape>
      </w:pict>
    </w:r>
    <w:r>
      <w:rPr>
        <w:rStyle w:val="19"/>
        <w:rFonts w:hint="default"/>
        <w:w w:val="90"/>
      </w:rPr>
      <w:t>Beijing International Standard united Certification Co.,Ltd.</w:t>
    </w:r>
  </w:p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B74842"/>
    <w:multiLevelType w:val="multilevel"/>
    <w:tmpl w:val="7CB74842"/>
    <w:lvl w:ilvl="0" w:tentative="0">
      <w:start w:val="1"/>
      <w:numFmt w:val="japaneseCounting"/>
      <w:lvlText w:val="%1、"/>
      <w:lvlJc w:val="left"/>
      <w:pPr>
        <w:tabs>
          <w:tab w:val="left" w:pos="405"/>
        </w:tabs>
        <w:ind w:left="405" w:hanging="405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8DC"/>
    <w:rsid w:val="00004817"/>
    <w:rsid w:val="000146B2"/>
    <w:rsid w:val="00014A12"/>
    <w:rsid w:val="000214B6"/>
    <w:rsid w:val="0002531E"/>
    <w:rsid w:val="000277D0"/>
    <w:rsid w:val="0003138C"/>
    <w:rsid w:val="00032100"/>
    <w:rsid w:val="0003373A"/>
    <w:rsid w:val="00035FB9"/>
    <w:rsid w:val="000412F6"/>
    <w:rsid w:val="00045092"/>
    <w:rsid w:val="0005199E"/>
    <w:rsid w:val="00052580"/>
    <w:rsid w:val="0005697E"/>
    <w:rsid w:val="000579CF"/>
    <w:rsid w:val="00060270"/>
    <w:rsid w:val="00061EE8"/>
    <w:rsid w:val="00061F6E"/>
    <w:rsid w:val="00082216"/>
    <w:rsid w:val="00082398"/>
    <w:rsid w:val="00083343"/>
    <w:rsid w:val="000849D2"/>
    <w:rsid w:val="00084DAD"/>
    <w:rsid w:val="000870FB"/>
    <w:rsid w:val="00092F91"/>
    <w:rsid w:val="00094791"/>
    <w:rsid w:val="000A067A"/>
    <w:rsid w:val="000A30F9"/>
    <w:rsid w:val="000A5E44"/>
    <w:rsid w:val="000A6B86"/>
    <w:rsid w:val="000B0E2D"/>
    <w:rsid w:val="000B1394"/>
    <w:rsid w:val="000B40BD"/>
    <w:rsid w:val="000B6EAD"/>
    <w:rsid w:val="000C123B"/>
    <w:rsid w:val="000C1700"/>
    <w:rsid w:val="000C25C3"/>
    <w:rsid w:val="000C2D5B"/>
    <w:rsid w:val="000D4F09"/>
    <w:rsid w:val="000D5401"/>
    <w:rsid w:val="000D697A"/>
    <w:rsid w:val="000E2B69"/>
    <w:rsid w:val="000E355F"/>
    <w:rsid w:val="000E4402"/>
    <w:rsid w:val="000E75E5"/>
    <w:rsid w:val="000E7EF7"/>
    <w:rsid w:val="000F35F1"/>
    <w:rsid w:val="000F38E4"/>
    <w:rsid w:val="000F7D53"/>
    <w:rsid w:val="001022F1"/>
    <w:rsid w:val="001037D5"/>
    <w:rsid w:val="00106F20"/>
    <w:rsid w:val="001076D1"/>
    <w:rsid w:val="001132EE"/>
    <w:rsid w:val="00123A35"/>
    <w:rsid w:val="00124A78"/>
    <w:rsid w:val="00132572"/>
    <w:rsid w:val="00132CFE"/>
    <w:rsid w:val="00135F92"/>
    <w:rsid w:val="00145688"/>
    <w:rsid w:val="001456CB"/>
    <w:rsid w:val="001462CD"/>
    <w:rsid w:val="00147EDB"/>
    <w:rsid w:val="00150775"/>
    <w:rsid w:val="001564F9"/>
    <w:rsid w:val="001662A1"/>
    <w:rsid w:val="001677C1"/>
    <w:rsid w:val="00170B6A"/>
    <w:rsid w:val="0017204F"/>
    <w:rsid w:val="00176572"/>
    <w:rsid w:val="00176B5D"/>
    <w:rsid w:val="00181F3C"/>
    <w:rsid w:val="001833DD"/>
    <w:rsid w:val="00183631"/>
    <w:rsid w:val="00187C5A"/>
    <w:rsid w:val="001918ED"/>
    <w:rsid w:val="00192A7F"/>
    <w:rsid w:val="001940FC"/>
    <w:rsid w:val="00194D96"/>
    <w:rsid w:val="001972C0"/>
    <w:rsid w:val="001A2D7F"/>
    <w:rsid w:val="001A3DF8"/>
    <w:rsid w:val="001A572D"/>
    <w:rsid w:val="001B324E"/>
    <w:rsid w:val="001B36F4"/>
    <w:rsid w:val="001B6887"/>
    <w:rsid w:val="001B6E5E"/>
    <w:rsid w:val="001B700E"/>
    <w:rsid w:val="001C0776"/>
    <w:rsid w:val="001C255F"/>
    <w:rsid w:val="001C2BC9"/>
    <w:rsid w:val="001C34EA"/>
    <w:rsid w:val="001C39CB"/>
    <w:rsid w:val="001D1D7C"/>
    <w:rsid w:val="001D4AD8"/>
    <w:rsid w:val="001D54FF"/>
    <w:rsid w:val="001D5787"/>
    <w:rsid w:val="001E1974"/>
    <w:rsid w:val="001E312D"/>
    <w:rsid w:val="001E72C1"/>
    <w:rsid w:val="001F71E8"/>
    <w:rsid w:val="00202BC2"/>
    <w:rsid w:val="00214113"/>
    <w:rsid w:val="00215081"/>
    <w:rsid w:val="00222532"/>
    <w:rsid w:val="00235ED5"/>
    <w:rsid w:val="00237445"/>
    <w:rsid w:val="00245047"/>
    <w:rsid w:val="00245CB6"/>
    <w:rsid w:val="00253CBF"/>
    <w:rsid w:val="00262BBB"/>
    <w:rsid w:val="00262DC0"/>
    <w:rsid w:val="002651A6"/>
    <w:rsid w:val="002715B5"/>
    <w:rsid w:val="002760CB"/>
    <w:rsid w:val="0027659A"/>
    <w:rsid w:val="002769EB"/>
    <w:rsid w:val="0028195E"/>
    <w:rsid w:val="00282AB8"/>
    <w:rsid w:val="0029464B"/>
    <w:rsid w:val="002973F0"/>
    <w:rsid w:val="00297433"/>
    <w:rsid w:val="002975C1"/>
    <w:rsid w:val="002A0E6E"/>
    <w:rsid w:val="002A33CC"/>
    <w:rsid w:val="002A4A4F"/>
    <w:rsid w:val="002A62D8"/>
    <w:rsid w:val="002B1808"/>
    <w:rsid w:val="002C1ACE"/>
    <w:rsid w:val="002C3E0D"/>
    <w:rsid w:val="002C60B0"/>
    <w:rsid w:val="002D41FB"/>
    <w:rsid w:val="002E0587"/>
    <w:rsid w:val="002E1E1D"/>
    <w:rsid w:val="002E72F8"/>
    <w:rsid w:val="002F030C"/>
    <w:rsid w:val="002F1DCE"/>
    <w:rsid w:val="003006E2"/>
    <w:rsid w:val="003120F5"/>
    <w:rsid w:val="00317401"/>
    <w:rsid w:val="00317FAF"/>
    <w:rsid w:val="0032112D"/>
    <w:rsid w:val="00326FC1"/>
    <w:rsid w:val="00330DBC"/>
    <w:rsid w:val="00337922"/>
    <w:rsid w:val="00340867"/>
    <w:rsid w:val="00342857"/>
    <w:rsid w:val="00350CBB"/>
    <w:rsid w:val="00351CD4"/>
    <w:rsid w:val="003608CB"/>
    <w:rsid w:val="00360D60"/>
    <w:rsid w:val="003627B6"/>
    <w:rsid w:val="003675FE"/>
    <w:rsid w:val="003708D5"/>
    <w:rsid w:val="0037587D"/>
    <w:rsid w:val="0038061A"/>
    <w:rsid w:val="0038063B"/>
    <w:rsid w:val="00380837"/>
    <w:rsid w:val="00382EDD"/>
    <w:rsid w:val="003836CA"/>
    <w:rsid w:val="00386A98"/>
    <w:rsid w:val="00392B11"/>
    <w:rsid w:val="00392D5A"/>
    <w:rsid w:val="003947A2"/>
    <w:rsid w:val="003A1E9C"/>
    <w:rsid w:val="003A57BB"/>
    <w:rsid w:val="003A62C3"/>
    <w:rsid w:val="003B0E41"/>
    <w:rsid w:val="003B63F4"/>
    <w:rsid w:val="003B686D"/>
    <w:rsid w:val="003B6EB8"/>
    <w:rsid w:val="003D1723"/>
    <w:rsid w:val="003D470D"/>
    <w:rsid w:val="003D5F66"/>
    <w:rsid w:val="003D6BE3"/>
    <w:rsid w:val="003E0E52"/>
    <w:rsid w:val="003E2C93"/>
    <w:rsid w:val="003E772A"/>
    <w:rsid w:val="003F20A5"/>
    <w:rsid w:val="003F6D4B"/>
    <w:rsid w:val="003F7CB9"/>
    <w:rsid w:val="00400B96"/>
    <w:rsid w:val="00401C89"/>
    <w:rsid w:val="00405AA6"/>
    <w:rsid w:val="00405D57"/>
    <w:rsid w:val="00405D5F"/>
    <w:rsid w:val="00410914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94E"/>
    <w:rsid w:val="00435641"/>
    <w:rsid w:val="00440BBC"/>
    <w:rsid w:val="004414A5"/>
    <w:rsid w:val="00441B50"/>
    <w:rsid w:val="004428CE"/>
    <w:rsid w:val="00456697"/>
    <w:rsid w:val="00463AD4"/>
    <w:rsid w:val="00463F22"/>
    <w:rsid w:val="004652CF"/>
    <w:rsid w:val="00465FE1"/>
    <w:rsid w:val="00474C85"/>
    <w:rsid w:val="00475491"/>
    <w:rsid w:val="004869FB"/>
    <w:rsid w:val="00491735"/>
    <w:rsid w:val="00494A46"/>
    <w:rsid w:val="004A1070"/>
    <w:rsid w:val="004A3578"/>
    <w:rsid w:val="004A4AF8"/>
    <w:rsid w:val="004A7106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5609"/>
    <w:rsid w:val="004E61BC"/>
    <w:rsid w:val="004F185D"/>
    <w:rsid w:val="004F3000"/>
    <w:rsid w:val="005052B3"/>
    <w:rsid w:val="005056ED"/>
    <w:rsid w:val="00505819"/>
    <w:rsid w:val="005064D2"/>
    <w:rsid w:val="00513B4A"/>
    <w:rsid w:val="00515C94"/>
    <w:rsid w:val="00517E4C"/>
    <w:rsid w:val="00521BB1"/>
    <w:rsid w:val="00521CF0"/>
    <w:rsid w:val="00527341"/>
    <w:rsid w:val="00531857"/>
    <w:rsid w:val="0053208B"/>
    <w:rsid w:val="005345E9"/>
    <w:rsid w:val="00534814"/>
    <w:rsid w:val="00536930"/>
    <w:rsid w:val="00541AE2"/>
    <w:rsid w:val="00544CA6"/>
    <w:rsid w:val="00546D5F"/>
    <w:rsid w:val="00552BDE"/>
    <w:rsid w:val="005571F6"/>
    <w:rsid w:val="00560A2A"/>
    <w:rsid w:val="00564E53"/>
    <w:rsid w:val="00571FB2"/>
    <w:rsid w:val="00576C70"/>
    <w:rsid w:val="00583277"/>
    <w:rsid w:val="00592922"/>
    <w:rsid w:val="00592C3E"/>
    <w:rsid w:val="00597617"/>
    <w:rsid w:val="005A000F"/>
    <w:rsid w:val="005B173D"/>
    <w:rsid w:val="005B6888"/>
    <w:rsid w:val="005C732B"/>
    <w:rsid w:val="005D1D88"/>
    <w:rsid w:val="005D5373"/>
    <w:rsid w:val="005F4B58"/>
    <w:rsid w:val="005F522D"/>
    <w:rsid w:val="005F6C65"/>
    <w:rsid w:val="00600F02"/>
    <w:rsid w:val="00601460"/>
    <w:rsid w:val="006014D4"/>
    <w:rsid w:val="0060444D"/>
    <w:rsid w:val="0061191A"/>
    <w:rsid w:val="00612211"/>
    <w:rsid w:val="00623037"/>
    <w:rsid w:val="00624222"/>
    <w:rsid w:val="00632DE1"/>
    <w:rsid w:val="00642776"/>
    <w:rsid w:val="00642D31"/>
    <w:rsid w:val="00644FE2"/>
    <w:rsid w:val="00645E5C"/>
    <w:rsid w:val="00645FB8"/>
    <w:rsid w:val="00651986"/>
    <w:rsid w:val="00652F53"/>
    <w:rsid w:val="00653DC7"/>
    <w:rsid w:val="006545E8"/>
    <w:rsid w:val="0065668C"/>
    <w:rsid w:val="00660E81"/>
    <w:rsid w:val="0066153B"/>
    <w:rsid w:val="00664736"/>
    <w:rsid w:val="00665980"/>
    <w:rsid w:val="006711B0"/>
    <w:rsid w:val="0067640C"/>
    <w:rsid w:val="006836D9"/>
    <w:rsid w:val="0068548D"/>
    <w:rsid w:val="00691265"/>
    <w:rsid w:val="006946B4"/>
    <w:rsid w:val="00695256"/>
    <w:rsid w:val="00695570"/>
    <w:rsid w:val="006958B3"/>
    <w:rsid w:val="006969F1"/>
    <w:rsid w:val="00696AF1"/>
    <w:rsid w:val="006A3B31"/>
    <w:rsid w:val="006A68F3"/>
    <w:rsid w:val="006B0113"/>
    <w:rsid w:val="006B12CC"/>
    <w:rsid w:val="006B2C63"/>
    <w:rsid w:val="006B39AA"/>
    <w:rsid w:val="006B4127"/>
    <w:rsid w:val="006B4F28"/>
    <w:rsid w:val="006C24BF"/>
    <w:rsid w:val="006C40B9"/>
    <w:rsid w:val="006D4DF7"/>
    <w:rsid w:val="006E4893"/>
    <w:rsid w:val="006E678B"/>
    <w:rsid w:val="006E762B"/>
    <w:rsid w:val="0070367F"/>
    <w:rsid w:val="00705251"/>
    <w:rsid w:val="00710655"/>
    <w:rsid w:val="00710688"/>
    <w:rsid w:val="00712F3C"/>
    <w:rsid w:val="007170AA"/>
    <w:rsid w:val="007175F5"/>
    <w:rsid w:val="0072638A"/>
    <w:rsid w:val="00726642"/>
    <w:rsid w:val="00732B66"/>
    <w:rsid w:val="007378E4"/>
    <w:rsid w:val="00737C8F"/>
    <w:rsid w:val="007406DE"/>
    <w:rsid w:val="00740E7F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39F5"/>
    <w:rsid w:val="00787C80"/>
    <w:rsid w:val="00790D5E"/>
    <w:rsid w:val="00790FC6"/>
    <w:rsid w:val="00795FA6"/>
    <w:rsid w:val="007A47FB"/>
    <w:rsid w:val="007A6E97"/>
    <w:rsid w:val="007B106B"/>
    <w:rsid w:val="007B275D"/>
    <w:rsid w:val="007B35C5"/>
    <w:rsid w:val="007B668F"/>
    <w:rsid w:val="007C18BE"/>
    <w:rsid w:val="007E483F"/>
    <w:rsid w:val="007E6AEB"/>
    <w:rsid w:val="007E6B6E"/>
    <w:rsid w:val="007E7C11"/>
    <w:rsid w:val="007F01EC"/>
    <w:rsid w:val="007F6A62"/>
    <w:rsid w:val="007F7DF2"/>
    <w:rsid w:val="008015B9"/>
    <w:rsid w:val="00803706"/>
    <w:rsid w:val="0080433F"/>
    <w:rsid w:val="008079FA"/>
    <w:rsid w:val="00810D58"/>
    <w:rsid w:val="00815AF5"/>
    <w:rsid w:val="008160E3"/>
    <w:rsid w:val="008215D6"/>
    <w:rsid w:val="008343CB"/>
    <w:rsid w:val="00834F70"/>
    <w:rsid w:val="00835B31"/>
    <w:rsid w:val="00850591"/>
    <w:rsid w:val="008575F9"/>
    <w:rsid w:val="008638DE"/>
    <w:rsid w:val="00863B20"/>
    <w:rsid w:val="008646DE"/>
    <w:rsid w:val="00864902"/>
    <w:rsid w:val="00864BE7"/>
    <w:rsid w:val="00865200"/>
    <w:rsid w:val="00871695"/>
    <w:rsid w:val="00884594"/>
    <w:rsid w:val="00885631"/>
    <w:rsid w:val="00886006"/>
    <w:rsid w:val="00890397"/>
    <w:rsid w:val="00891C25"/>
    <w:rsid w:val="00894200"/>
    <w:rsid w:val="0089542B"/>
    <w:rsid w:val="008973EE"/>
    <w:rsid w:val="008A5C1F"/>
    <w:rsid w:val="008A7C7E"/>
    <w:rsid w:val="008B21BA"/>
    <w:rsid w:val="008B4EE2"/>
    <w:rsid w:val="008B7644"/>
    <w:rsid w:val="008C199E"/>
    <w:rsid w:val="008C1CA5"/>
    <w:rsid w:val="008D089D"/>
    <w:rsid w:val="008E0E14"/>
    <w:rsid w:val="008E6662"/>
    <w:rsid w:val="008E792C"/>
    <w:rsid w:val="008F0B04"/>
    <w:rsid w:val="008F2FE1"/>
    <w:rsid w:val="008F6788"/>
    <w:rsid w:val="008F7C55"/>
    <w:rsid w:val="00901BAF"/>
    <w:rsid w:val="0091272B"/>
    <w:rsid w:val="00915512"/>
    <w:rsid w:val="00930694"/>
    <w:rsid w:val="00932193"/>
    <w:rsid w:val="00932BE6"/>
    <w:rsid w:val="0093521F"/>
    <w:rsid w:val="0093786C"/>
    <w:rsid w:val="00945677"/>
    <w:rsid w:val="00951F52"/>
    <w:rsid w:val="0095571F"/>
    <w:rsid w:val="00955B84"/>
    <w:rsid w:val="0095689B"/>
    <w:rsid w:val="009619EF"/>
    <w:rsid w:val="00962F78"/>
    <w:rsid w:val="00964CF5"/>
    <w:rsid w:val="00965A0E"/>
    <w:rsid w:val="0096609F"/>
    <w:rsid w:val="00970DA2"/>
    <w:rsid w:val="00971600"/>
    <w:rsid w:val="00972B2C"/>
    <w:rsid w:val="00975DD9"/>
    <w:rsid w:val="009769AA"/>
    <w:rsid w:val="00984342"/>
    <w:rsid w:val="0099301F"/>
    <w:rsid w:val="009969D2"/>
    <w:rsid w:val="009973B4"/>
    <w:rsid w:val="009A1279"/>
    <w:rsid w:val="009A4B5C"/>
    <w:rsid w:val="009B3649"/>
    <w:rsid w:val="009B3F6E"/>
    <w:rsid w:val="009B4D68"/>
    <w:rsid w:val="009B6AB3"/>
    <w:rsid w:val="009B7EB8"/>
    <w:rsid w:val="009C131F"/>
    <w:rsid w:val="009C2CA5"/>
    <w:rsid w:val="009D1075"/>
    <w:rsid w:val="009D1A3F"/>
    <w:rsid w:val="009D2F66"/>
    <w:rsid w:val="009D57CF"/>
    <w:rsid w:val="009D7E70"/>
    <w:rsid w:val="009E2238"/>
    <w:rsid w:val="009E30DA"/>
    <w:rsid w:val="009E3D68"/>
    <w:rsid w:val="009E461A"/>
    <w:rsid w:val="009E6193"/>
    <w:rsid w:val="009E7DD1"/>
    <w:rsid w:val="009F6B9E"/>
    <w:rsid w:val="009F7BFC"/>
    <w:rsid w:val="009F7EED"/>
    <w:rsid w:val="00A0091F"/>
    <w:rsid w:val="00A05657"/>
    <w:rsid w:val="00A0615F"/>
    <w:rsid w:val="00A06235"/>
    <w:rsid w:val="00A0721A"/>
    <w:rsid w:val="00A138EC"/>
    <w:rsid w:val="00A13A49"/>
    <w:rsid w:val="00A23822"/>
    <w:rsid w:val="00A3538B"/>
    <w:rsid w:val="00A378F6"/>
    <w:rsid w:val="00A41F32"/>
    <w:rsid w:val="00A4482F"/>
    <w:rsid w:val="00A50B4B"/>
    <w:rsid w:val="00A52368"/>
    <w:rsid w:val="00A54B81"/>
    <w:rsid w:val="00A61009"/>
    <w:rsid w:val="00A648EC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7D2F"/>
    <w:rsid w:val="00AC0FAB"/>
    <w:rsid w:val="00AC24B1"/>
    <w:rsid w:val="00AC260E"/>
    <w:rsid w:val="00AD145D"/>
    <w:rsid w:val="00AD20E6"/>
    <w:rsid w:val="00AD3ACD"/>
    <w:rsid w:val="00AD6F34"/>
    <w:rsid w:val="00AE020D"/>
    <w:rsid w:val="00AF0AAB"/>
    <w:rsid w:val="00AF156F"/>
    <w:rsid w:val="00AF3B58"/>
    <w:rsid w:val="00AF616B"/>
    <w:rsid w:val="00B034AD"/>
    <w:rsid w:val="00B04169"/>
    <w:rsid w:val="00B0685B"/>
    <w:rsid w:val="00B14206"/>
    <w:rsid w:val="00B22D22"/>
    <w:rsid w:val="00B23030"/>
    <w:rsid w:val="00B237B9"/>
    <w:rsid w:val="00B23CAA"/>
    <w:rsid w:val="00B2489D"/>
    <w:rsid w:val="00B320CE"/>
    <w:rsid w:val="00B410EE"/>
    <w:rsid w:val="00B63BD0"/>
    <w:rsid w:val="00B72906"/>
    <w:rsid w:val="00B73B0E"/>
    <w:rsid w:val="00B73EA8"/>
    <w:rsid w:val="00B8202D"/>
    <w:rsid w:val="00B82181"/>
    <w:rsid w:val="00B826F3"/>
    <w:rsid w:val="00B91271"/>
    <w:rsid w:val="00B91605"/>
    <w:rsid w:val="00B91895"/>
    <w:rsid w:val="00B929FD"/>
    <w:rsid w:val="00B95B99"/>
    <w:rsid w:val="00B95F69"/>
    <w:rsid w:val="00B95F75"/>
    <w:rsid w:val="00BA4A2A"/>
    <w:rsid w:val="00BB6AD3"/>
    <w:rsid w:val="00BC0122"/>
    <w:rsid w:val="00BC16C1"/>
    <w:rsid w:val="00BC2015"/>
    <w:rsid w:val="00BC66FE"/>
    <w:rsid w:val="00BC71B0"/>
    <w:rsid w:val="00BD4E08"/>
    <w:rsid w:val="00BD6DBC"/>
    <w:rsid w:val="00BE17FE"/>
    <w:rsid w:val="00BE363D"/>
    <w:rsid w:val="00BE3E2D"/>
    <w:rsid w:val="00BF4590"/>
    <w:rsid w:val="00BF597E"/>
    <w:rsid w:val="00C03098"/>
    <w:rsid w:val="00C10351"/>
    <w:rsid w:val="00C10684"/>
    <w:rsid w:val="00C10EF3"/>
    <w:rsid w:val="00C14685"/>
    <w:rsid w:val="00C31C73"/>
    <w:rsid w:val="00C5112E"/>
    <w:rsid w:val="00C513CB"/>
    <w:rsid w:val="00C51A36"/>
    <w:rsid w:val="00C548BE"/>
    <w:rsid w:val="00C55228"/>
    <w:rsid w:val="00C62031"/>
    <w:rsid w:val="00C67E19"/>
    <w:rsid w:val="00C67E47"/>
    <w:rsid w:val="00C71E85"/>
    <w:rsid w:val="00C73C26"/>
    <w:rsid w:val="00C745AF"/>
    <w:rsid w:val="00C750BE"/>
    <w:rsid w:val="00C76A3E"/>
    <w:rsid w:val="00C86F9B"/>
    <w:rsid w:val="00C87FEE"/>
    <w:rsid w:val="00C90930"/>
    <w:rsid w:val="00C9113A"/>
    <w:rsid w:val="00C920A9"/>
    <w:rsid w:val="00C93340"/>
    <w:rsid w:val="00C94316"/>
    <w:rsid w:val="00CB0154"/>
    <w:rsid w:val="00CB0D49"/>
    <w:rsid w:val="00CB127F"/>
    <w:rsid w:val="00CB260B"/>
    <w:rsid w:val="00CB3729"/>
    <w:rsid w:val="00CB43FE"/>
    <w:rsid w:val="00CB49F0"/>
    <w:rsid w:val="00CC2A01"/>
    <w:rsid w:val="00CC6864"/>
    <w:rsid w:val="00CD394A"/>
    <w:rsid w:val="00CD6C83"/>
    <w:rsid w:val="00CE0AA5"/>
    <w:rsid w:val="00CE2A9E"/>
    <w:rsid w:val="00CE315A"/>
    <w:rsid w:val="00CE4B8A"/>
    <w:rsid w:val="00CE7BE1"/>
    <w:rsid w:val="00CF1062"/>
    <w:rsid w:val="00CF147A"/>
    <w:rsid w:val="00CF1726"/>
    <w:rsid w:val="00CF3D89"/>
    <w:rsid w:val="00CF5473"/>
    <w:rsid w:val="00CF5717"/>
    <w:rsid w:val="00CF6C5C"/>
    <w:rsid w:val="00CF7295"/>
    <w:rsid w:val="00D004F0"/>
    <w:rsid w:val="00D05E13"/>
    <w:rsid w:val="00D06F59"/>
    <w:rsid w:val="00D209B7"/>
    <w:rsid w:val="00D21AF9"/>
    <w:rsid w:val="00D3392D"/>
    <w:rsid w:val="00D34A3D"/>
    <w:rsid w:val="00D34C3B"/>
    <w:rsid w:val="00D379ED"/>
    <w:rsid w:val="00D37D1B"/>
    <w:rsid w:val="00D41F5E"/>
    <w:rsid w:val="00D429D7"/>
    <w:rsid w:val="00D42D53"/>
    <w:rsid w:val="00D55E69"/>
    <w:rsid w:val="00D562F6"/>
    <w:rsid w:val="00D74FBF"/>
    <w:rsid w:val="00D7717E"/>
    <w:rsid w:val="00D80770"/>
    <w:rsid w:val="00D83050"/>
    <w:rsid w:val="00D8388C"/>
    <w:rsid w:val="00D90417"/>
    <w:rsid w:val="00D93C8F"/>
    <w:rsid w:val="00D94B75"/>
    <w:rsid w:val="00D97182"/>
    <w:rsid w:val="00DA0DF0"/>
    <w:rsid w:val="00DB1D00"/>
    <w:rsid w:val="00DD10DC"/>
    <w:rsid w:val="00DD1C8E"/>
    <w:rsid w:val="00DD1D21"/>
    <w:rsid w:val="00DD7876"/>
    <w:rsid w:val="00DE146D"/>
    <w:rsid w:val="00DE2D80"/>
    <w:rsid w:val="00DE6FCE"/>
    <w:rsid w:val="00DF1C4B"/>
    <w:rsid w:val="00DF6570"/>
    <w:rsid w:val="00DF76DB"/>
    <w:rsid w:val="00E038E4"/>
    <w:rsid w:val="00E0475D"/>
    <w:rsid w:val="00E0521C"/>
    <w:rsid w:val="00E070B7"/>
    <w:rsid w:val="00E11CD7"/>
    <w:rsid w:val="00E13D9A"/>
    <w:rsid w:val="00E14BA9"/>
    <w:rsid w:val="00E221C3"/>
    <w:rsid w:val="00E31F2E"/>
    <w:rsid w:val="00E32D13"/>
    <w:rsid w:val="00E43822"/>
    <w:rsid w:val="00E43A35"/>
    <w:rsid w:val="00E457E0"/>
    <w:rsid w:val="00E45C87"/>
    <w:rsid w:val="00E54035"/>
    <w:rsid w:val="00E5717A"/>
    <w:rsid w:val="00E62996"/>
    <w:rsid w:val="00E63714"/>
    <w:rsid w:val="00E64A51"/>
    <w:rsid w:val="00E6527A"/>
    <w:rsid w:val="00E676F9"/>
    <w:rsid w:val="00E67C09"/>
    <w:rsid w:val="00E910C0"/>
    <w:rsid w:val="00E954BE"/>
    <w:rsid w:val="00E95637"/>
    <w:rsid w:val="00E97424"/>
    <w:rsid w:val="00EA55F7"/>
    <w:rsid w:val="00EA5870"/>
    <w:rsid w:val="00EB0164"/>
    <w:rsid w:val="00EB5DF5"/>
    <w:rsid w:val="00EB65F7"/>
    <w:rsid w:val="00EC42F5"/>
    <w:rsid w:val="00ED0F62"/>
    <w:rsid w:val="00ED49CB"/>
    <w:rsid w:val="00EE5CD9"/>
    <w:rsid w:val="00EE6713"/>
    <w:rsid w:val="00EE6F50"/>
    <w:rsid w:val="00EF29B6"/>
    <w:rsid w:val="00EF3569"/>
    <w:rsid w:val="00EF36E7"/>
    <w:rsid w:val="00EF3DD5"/>
    <w:rsid w:val="00EF699B"/>
    <w:rsid w:val="00F06B25"/>
    <w:rsid w:val="00F06D09"/>
    <w:rsid w:val="00F079BB"/>
    <w:rsid w:val="00F11201"/>
    <w:rsid w:val="00F115BF"/>
    <w:rsid w:val="00F14D99"/>
    <w:rsid w:val="00F2038C"/>
    <w:rsid w:val="00F25AFF"/>
    <w:rsid w:val="00F31E8A"/>
    <w:rsid w:val="00F32CB9"/>
    <w:rsid w:val="00F33729"/>
    <w:rsid w:val="00F3372A"/>
    <w:rsid w:val="00F35AAF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6C77"/>
    <w:rsid w:val="00F6739D"/>
    <w:rsid w:val="00F83639"/>
    <w:rsid w:val="00F83EB6"/>
    <w:rsid w:val="00F840C3"/>
    <w:rsid w:val="00F856F5"/>
    <w:rsid w:val="00F8598C"/>
    <w:rsid w:val="00F956F5"/>
    <w:rsid w:val="00F97505"/>
    <w:rsid w:val="00FA0833"/>
    <w:rsid w:val="00FA2988"/>
    <w:rsid w:val="00FA350D"/>
    <w:rsid w:val="00FA47EB"/>
    <w:rsid w:val="00FB03C3"/>
    <w:rsid w:val="00FB150B"/>
    <w:rsid w:val="00FB5A65"/>
    <w:rsid w:val="00FB6C45"/>
    <w:rsid w:val="00FC01AB"/>
    <w:rsid w:val="00FC5420"/>
    <w:rsid w:val="00FC5A11"/>
    <w:rsid w:val="00FD028D"/>
    <w:rsid w:val="00FD0A28"/>
    <w:rsid w:val="00FD2869"/>
    <w:rsid w:val="00FD5EE5"/>
    <w:rsid w:val="00FD72A6"/>
    <w:rsid w:val="00FE09C9"/>
    <w:rsid w:val="00FE3DB1"/>
    <w:rsid w:val="00FE62BD"/>
    <w:rsid w:val="108219C2"/>
    <w:rsid w:val="10A135E4"/>
    <w:rsid w:val="192B39EE"/>
    <w:rsid w:val="289F7EE8"/>
    <w:rsid w:val="29A266C8"/>
    <w:rsid w:val="2F324D2D"/>
    <w:rsid w:val="42D30BB9"/>
    <w:rsid w:val="4E8E0C5D"/>
    <w:rsid w:val="4FF0324F"/>
    <w:rsid w:val="5EA12B9A"/>
    <w:rsid w:val="6369569A"/>
    <w:rsid w:val="6C433627"/>
    <w:rsid w:val="7FE2689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Body Text"/>
    <w:basedOn w:val="1"/>
    <w:link w:val="23"/>
    <w:unhideWhenUsed/>
    <w:qFormat/>
    <w:uiPriority w:val="99"/>
    <w:pPr>
      <w:spacing w:line="420" w:lineRule="exact"/>
    </w:pPr>
    <w:rPr>
      <w:sz w:val="24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6">
    <w:name w:val="Body Text Indent"/>
    <w:basedOn w:val="1"/>
    <w:qFormat/>
    <w:uiPriority w:val="0"/>
    <w:pPr>
      <w:ind w:left="360"/>
    </w:pPr>
    <w:rPr>
      <w:sz w:val="20"/>
    </w:rPr>
  </w:style>
  <w:style w:type="paragraph" w:styleId="7">
    <w:name w:val="toc 3"/>
    <w:basedOn w:val="1"/>
    <w:next w:val="1"/>
    <w:qFormat/>
    <w:uiPriority w:val="0"/>
    <w:pPr>
      <w:ind w:left="840" w:leftChars="400"/>
      <w:jc w:val="both"/>
    </w:pPr>
    <w:rPr>
      <w:rFonts w:ascii="Calibri" w:hAnsi="Calibri" w:eastAsia="宋体" w:cs="Calibri"/>
      <w:iCs/>
    </w:rPr>
  </w:style>
  <w:style w:type="paragraph" w:styleId="8">
    <w:name w:val="Plain Text"/>
    <w:basedOn w:val="1"/>
    <w:link w:val="24"/>
    <w:qFormat/>
    <w:uiPriority w:val="0"/>
    <w:rPr>
      <w:rFonts w:ascii="宋体" w:hAnsi="Courier New"/>
    </w:rPr>
  </w:style>
  <w:style w:type="paragraph" w:styleId="9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itle"/>
    <w:basedOn w:val="1"/>
    <w:link w:val="25"/>
    <w:qFormat/>
    <w:uiPriority w:val="0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Char"/>
    <w:basedOn w:val="15"/>
    <w:link w:val="1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15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 Char"/>
    <w:basedOn w:val="15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20">
    <w:name w:val="fontstyle01"/>
    <w:basedOn w:val="15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21">
    <w:name w:val="fontstyle21"/>
    <w:basedOn w:val="15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character" w:customStyle="1" w:styleId="22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正文文本 Char"/>
    <w:basedOn w:val="15"/>
    <w:link w:val="4"/>
    <w:qFormat/>
    <w:uiPriority w:val="99"/>
    <w:rPr>
      <w:rFonts w:ascii="Times New Roman" w:hAnsi="Times New Roman" w:eastAsia="宋体" w:cs="Times New Roman"/>
      <w:kern w:val="2"/>
      <w:sz w:val="24"/>
    </w:rPr>
  </w:style>
  <w:style w:type="character" w:customStyle="1" w:styleId="24">
    <w:name w:val="纯文本 Char"/>
    <w:basedOn w:val="15"/>
    <w:link w:val="8"/>
    <w:qFormat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25">
    <w:name w:val="标题 Char"/>
    <w:basedOn w:val="15"/>
    <w:link w:val="12"/>
    <w:qFormat/>
    <w:uiPriority w:val="0"/>
    <w:rPr>
      <w:rFonts w:ascii="Book Antiqua" w:hAnsi="Book Antiqua" w:eastAsia="宋体" w:cs="Times New Roman"/>
      <w:b/>
      <w:sz w:val="31"/>
      <w:szCs w:val="31"/>
      <w:u w:val="single"/>
      <w:lang w:eastAsia="en-US"/>
    </w:rPr>
  </w:style>
  <w:style w:type="paragraph" w:styleId="26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7">
    <w:name w:val="东方正文"/>
    <w:basedOn w:val="1"/>
    <w:qFormat/>
    <w:uiPriority w:val="0"/>
    <w:pPr>
      <w:spacing w:line="400" w:lineRule="exact"/>
      <w:ind w:left="284" w:right="284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631</Words>
  <Characters>3601</Characters>
  <Lines>30</Lines>
  <Paragraphs>8</Paragraphs>
  <TotalTime>13</TotalTime>
  <ScaleCrop>false</ScaleCrop>
  <LinksUpToDate>false</LinksUpToDate>
  <CharactersWithSpaces>4224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春华秋实</cp:lastModifiedBy>
  <dcterms:modified xsi:type="dcterms:W3CDTF">2021-12-07T04:56:47Z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8B734D2AB8584C5197725FD086FBE2EE</vt:lpwstr>
  </property>
</Properties>
</file>